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25090" w14:textId="77777777" w:rsidR="00570CE8" w:rsidRPr="00ED241B" w:rsidRDefault="00BF125E" w:rsidP="00BF125E">
      <w:pPr>
        <w:jc w:val="center"/>
        <w:rPr>
          <w:rFonts w:ascii="Arial" w:hAnsi="Arial" w:cs="Arial"/>
          <w:b/>
          <w:sz w:val="24"/>
          <w:szCs w:val="24"/>
        </w:rPr>
      </w:pPr>
      <w:r w:rsidRPr="00ED241B">
        <w:rPr>
          <w:rFonts w:ascii="Arial" w:hAnsi="Arial" w:cs="Arial"/>
          <w:b/>
          <w:sz w:val="24"/>
          <w:szCs w:val="24"/>
        </w:rPr>
        <w:t>Exercício aula 1- Semiologia</w:t>
      </w:r>
    </w:p>
    <w:p w14:paraId="41F98D10" w14:textId="57E66B53" w:rsidR="00BF125E" w:rsidRDefault="00BF125E" w:rsidP="00BF125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D241B">
        <w:rPr>
          <w:rFonts w:ascii="Arial" w:hAnsi="Arial" w:cs="Arial"/>
          <w:b/>
          <w:sz w:val="24"/>
          <w:szCs w:val="24"/>
        </w:rPr>
        <w:t>Qual o objetivo do estudo?</w:t>
      </w:r>
    </w:p>
    <w:p w14:paraId="3DB027B8" w14:textId="29F08C25" w:rsidR="00061597" w:rsidRDefault="00061597" w:rsidP="00061597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0C3D3A2A" w14:textId="77777777" w:rsidR="00061597" w:rsidRDefault="00061597" w:rsidP="00061597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1DA5761B" w14:textId="77777777" w:rsidR="00ED241B" w:rsidRPr="00ED241B" w:rsidRDefault="00ED241B" w:rsidP="00ED241B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6FB0B4BC" w14:textId="23ED251E" w:rsidR="00BF125E" w:rsidRDefault="00BF125E" w:rsidP="00BF125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D241B">
        <w:rPr>
          <w:rFonts w:ascii="Arial" w:hAnsi="Arial" w:cs="Arial"/>
          <w:b/>
          <w:sz w:val="24"/>
          <w:szCs w:val="24"/>
        </w:rPr>
        <w:t>O que é hiperplasia benigna da próstata (HBP) e o que ela é capaz de causar</w:t>
      </w:r>
      <w:r w:rsidR="00061597">
        <w:rPr>
          <w:rFonts w:ascii="Arial" w:hAnsi="Arial" w:cs="Arial"/>
          <w:b/>
          <w:sz w:val="24"/>
          <w:szCs w:val="24"/>
        </w:rPr>
        <w:t xml:space="preserve"> (complicações)</w:t>
      </w:r>
      <w:r w:rsidRPr="00ED241B">
        <w:rPr>
          <w:rFonts w:ascii="Arial" w:hAnsi="Arial" w:cs="Arial"/>
          <w:b/>
          <w:sz w:val="24"/>
          <w:szCs w:val="24"/>
        </w:rPr>
        <w:t>?</w:t>
      </w:r>
    </w:p>
    <w:p w14:paraId="5BB5AACA" w14:textId="6365FEBE" w:rsidR="00061597" w:rsidRDefault="00061597" w:rsidP="00061597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5AEAA66C" w14:textId="77777777" w:rsidR="00061597" w:rsidRDefault="00061597" w:rsidP="00061597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691282B6" w14:textId="77777777" w:rsidR="00ED241B" w:rsidRPr="00ED241B" w:rsidRDefault="00ED241B" w:rsidP="00ED241B">
      <w:pPr>
        <w:pStyle w:val="PargrafodaLista"/>
        <w:rPr>
          <w:rFonts w:ascii="Arial" w:hAnsi="Arial" w:cs="Arial"/>
          <w:b/>
          <w:sz w:val="24"/>
          <w:szCs w:val="24"/>
        </w:rPr>
      </w:pPr>
    </w:p>
    <w:p w14:paraId="062D680C" w14:textId="77777777" w:rsidR="00ED241B" w:rsidRPr="00ED241B" w:rsidRDefault="00ED241B" w:rsidP="00ED241B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16FD455E" w14:textId="7D605A82" w:rsidR="00BF125E" w:rsidRPr="00ED241B" w:rsidRDefault="00BF125E" w:rsidP="00BF125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D241B">
        <w:rPr>
          <w:rFonts w:ascii="Arial" w:hAnsi="Arial" w:cs="Arial"/>
          <w:sz w:val="24"/>
          <w:szCs w:val="24"/>
        </w:rPr>
        <w:t xml:space="preserve">Na HBP, a </w:t>
      </w:r>
      <w:proofErr w:type="spellStart"/>
      <w:r w:rsidRPr="00ED241B">
        <w:rPr>
          <w:rFonts w:ascii="Arial" w:hAnsi="Arial" w:cs="Arial"/>
          <w:sz w:val="24"/>
          <w:szCs w:val="24"/>
        </w:rPr>
        <w:t>cateterização</w:t>
      </w:r>
      <w:proofErr w:type="spellEnd"/>
      <w:r w:rsidRPr="00ED241B">
        <w:rPr>
          <w:rFonts w:ascii="Arial" w:hAnsi="Arial" w:cs="Arial"/>
          <w:sz w:val="24"/>
          <w:szCs w:val="24"/>
        </w:rPr>
        <w:t xml:space="preserve"> vesical permanente é comumente recomendada com a finalidade de drenar a urina retida devido à obstrução uretral. Envolve a introdução cuidadosa de uma sonda de látex através da uretra para o interior da bexiga, fornecendo um fluxo contínuo de urina. Sendo o trato urinário um sistema estéril, para minimizar os riscos de infecção é utilizada uma bolsa coletora de plástico mantida em sistema de drenagem fechado. Portanto, o procedimento é realizado utilizando-se estrita técnica asséptica. As</w:t>
      </w:r>
      <w:r w:rsidR="00ED241B" w:rsidRPr="00ED241B">
        <w:rPr>
          <w:rFonts w:ascii="Arial" w:hAnsi="Arial" w:cs="Arial"/>
          <w:sz w:val="24"/>
          <w:szCs w:val="24"/>
        </w:rPr>
        <w:t xml:space="preserve"> </w:t>
      </w:r>
      <w:r w:rsidRPr="00ED241B">
        <w:rPr>
          <w:rFonts w:ascii="Arial" w:hAnsi="Arial" w:cs="Arial"/>
          <w:sz w:val="24"/>
          <w:szCs w:val="24"/>
        </w:rPr>
        <w:t xml:space="preserve">3 complicações mais </w:t>
      </w:r>
      <w:r w:rsidR="00061597" w:rsidRPr="00ED241B">
        <w:rPr>
          <w:rFonts w:ascii="Arial" w:hAnsi="Arial" w:cs="Arial"/>
          <w:sz w:val="24"/>
          <w:szCs w:val="24"/>
        </w:rPr>
        <w:t>comuns associadas</w:t>
      </w:r>
      <w:r w:rsidRPr="00ED241B">
        <w:rPr>
          <w:rFonts w:ascii="Arial" w:hAnsi="Arial" w:cs="Arial"/>
          <w:sz w:val="24"/>
          <w:szCs w:val="24"/>
        </w:rPr>
        <w:t xml:space="preserve"> ao procedimento são:</w:t>
      </w:r>
    </w:p>
    <w:p w14:paraId="0D5AD2AF" w14:textId="77777777" w:rsidR="00ED241B" w:rsidRPr="00ED241B" w:rsidRDefault="00ED241B" w:rsidP="00ED241B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70514B81" w14:textId="77777777" w:rsidR="00BF125E" w:rsidRPr="00ED241B" w:rsidRDefault="00D76534" w:rsidP="00BF125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D241B">
        <w:rPr>
          <w:rFonts w:ascii="Arial" w:hAnsi="Arial" w:cs="Arial"/>
          <w:sz w:val="24"/>
          <w:szCs w:val="24"/>
        </w:rPr>
        <w:t>O filho relata que frequentemente o levam ao hospital devido problemas relacionados ao cateter. No último mês a troca foi realizada quatro vezes. Discutir qual é o período adequado para troca de sonda.</w:t>
      </w:r>
    </w:p>
    <w:p w14:paraId="79CA7C16" w14:textId="77777777" w:rsidR="00ED241B" w:rsidRPr="00ED241B" w:rsidRDefault="00ED241B" w:rsidP="00ED241B">
      <w:pPr>
        <w:pStyle w:val="PargrafodaLista"/>
        <w:rPr>
          <w:rFonts w:ascii="Arial" w:hAnsi="Arial" w:cs="Arial"/>
          <w:b/>
          <w:sz w:val="24"/>
          <w:szCs w:val="24"/>
        </w:rPr>
      </w:pPr>
    </w:p>
    <w:p w14:paraId="68074B4E" w14:textId="77777777" w:rsidR="00ED241B" w:rsidRPr="00ED241B" w:rsidRDefault="00ED241B" w:rsidP="00ED241B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7AE0DE27" w14:textId="2254A14B" w:rsidR="000072B2" w:rsidRPr="00061597" w:rsidRDefault="000072B2" w:rsidP="00BF125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D241B">
        <w:rPr>
          <w:rFonts w:ascii="Arial" w:hAnsi="Arial" w:cs="Arial"/>
          <w:sz w:val="24"/>
          <w:szCs w:val="24"/>
        </w:rPr>
        <w:t>A hematúria (presença de sangue na urina) é outro problema que costuma ocorrer tardiamente, por vezes, devido à ruptura de vasos submucosos locais. Todavia, trata-se de uma complicação que deve ser explorada cuidadosamente junto à equipe médica, já que a hematúria pode estar também associada com a presença de outras afecções como litíase e lesão glomerular (SROUGI, 2008; PORTO, 2009). Quais os cuidados de enfermagem nessa situação:</w:t>
      </w:r>
    </w:p>
    <w:p w14:paraId="23BC7644" w14:textId="1011D524" w:rsidR="00061597" w:rsidRDefault="00061597" w:rsidP="00061597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72A6FAB" w14:textId="520A9F54" w:rsidR="00061597" w:rsidRDefault="00061597" w:rsidP="00061597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C8F39CC" w14:textId="58BC45D0" w:rsidR="00061597" w:rsidRDefault="00061597" w:rsidP="00061597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9CF32E0" w14:textId="77777777" w:rsidR="00061597" w:rsidRPr="00061597" w:rsidRDefault="00061597" w:rsidP="00061597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2B2D69A9" w14:textId="77777777" w:rsidR="00061597" w:rsidRPr="00061597" w:rsidRDefault="00061597" w:rsidP="00061597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7DF78CBA" w14:textId="6979FA37" w:rsidR="00061597" w:rsidRPr="00061597" w:rsidRDefault="00061597" w:rsidP="00BF125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Escreva no verso da folha os 13 diagnósticos de enfermagem levantados no estudo:</w:t>
      </w:r>
    </w:p>
    <w:p w14:paraId="7C28DA52" w14:textId="77777777" w:rsidR="00061597" w:rsidRPr="00061597" w:rsidRDefault="00061597" w:rsidP="00061597">
      <w:pPr>
        <w:pStyle w:val="PargrafodaLista"/>
        <w:rPr>
          <w:rFonts w:ascii="Arial" w:hAnsi="Arial" w:cs="Arial"/>
          <w:b/>
          <w:sz w:val="24"/>
          <w:szCs w:val="24"/>
        </w:rPr>
      </w:pPr>
    </w:p>
    <w:p w14:paraId="5B6F8BBD" w14:textId="77777777" w:rsidR="000072B2" w:rsidRPr="00ED241B" w:rsidRDefault="00970D42" w:rsidP="00061597">
      <w:pPr>
        <w:pStyle w:val="PargrafodaLista"/>
        <w:numPr>
          <w:ilvl w:val="0"/>
          <w:numId w:val="1"/>
        </w:numPr>
        <w:spacing w:after="0" w:line="240" w:lineRule="auto"/>
        <w:ind w:hanging="153"/>
        <w:jc w:val="both"/>
        <w:rPr>
          <w:rFonts w:ascii="Arial" w:hAnsi="Arial" w:cs="Arial"/>
          <w:b/>
          <w:sz w:val="24"/>
          <w:szCs w:val="24"/>
        </w:rPr>
      </w:pPr>
      <w:r w:rsidRPr="00ED241B">
        <w:rPr>
          <w:rFonts w:ascii="Arial" w:hAnsi="Arial" w:cs="Arial"/>
          <w:sz w:val="24"/>
          <w:szCs w:val="24"/>
        </w:rPr>
        <w:t>Dê o significado dos termos técnicos:</w:t>
      </w:r>
    </w:p>
    <w:p w14:paraId="6150C9FE" w14:textId="77777777" w:rsidR="00BF125E" w:rsidRPr="00ED241B" w:rsidRDefault="00284B4D" w:rsidP="00061597">
      <w:pPr>
        <w:spacing w:after="0" w:line="240" w:lineRule="auto"/>
        <w:ind w:hanging="153"/>
        <w:jc w:val="both"/>
        <w:rPr>
          <w:rFonts w:ascii="Arial" w:hAnsi="Arial" w:cs="Arial"/>
          <w:sz w:val="24"/>
          <w:szCs w:val="24"/>
        </w:rPr>
      </w:pPr>
      <w:proofErr w:type="spellStart"/>
      <w:r w:rsidRPr="00ED241B">
        <w:rPr>
          <w:rFonts w:ascii="Arial" w:hAnsi="Arial" w:cs="Arial"/>
          <w:sz w:val="24"/>
          <w:szCs w:val="24"/>
        </w:rPr>
        <w:t>Hematuria</w:t>
      </w:r>
      <w:proofErr w:type="spellEnd"/>
      <w:r w:rsidRPr="00ED241B">
        <w:rPr>
          <w:rFonts w:ascii="Arial" w:hAnsi="Arial" w:cs="Arial"/>
          <w:sz w:val="24"/>
          <w:szCs w:val="24"/>
        </w:rPr>
        <w:t xml:space="preserve"> macroscópica-</w:t>
      </w:r>
    </w:p>
    <w:p w14:paraId="73620A89" w14:textId="77777777" w:rsidR="000072B2" w:rsidRPr="00ED241B" w:rsidRDefault="000072B2" w:rsidP="00061597">
      <w:pPr>
        <w:spacing w:after="0" w:line="240" w:lineRule="auto"/>
        <w:ind w:hanging="153"/>
        <w:jc w:val="both"/>
        <w:rPr>
          <w:rFonts w:ascii="Arial" w:hAnsi="Arial" w:cs="Arial"/>
          <w:sz w:val="24"/>
          <w:szCs w:val="24"/>
        </w:rPr>
      </w:pPr>
      <w:r w:rsidRPr="00ED241B">
        <w:rPr>
          <w:rFonts w:ascii="Arial" w:hAnsi="Arial" w:cs="Arial"/>
          <w:sz w:val="24"/>
          <w:szCs w:val="24"/>
        </w:rPr>
        <w:t xml:space="preserve">Sinais </w:t>
      </w:r>
      <w:proofErr w:type="spellStart"/>
      <w:r w:rsidRPr="00ED241B">
        <w:rPr>
          <w:rFonts w:ascii="Arial" w:hAnsi="Arial" w:cs="Arial"/>
          <w:sz w:val="24"/>
          <w:szCs w:val="24"/>
        </w:rPr>
        <w:t>flogisticos</w:t>
      </w:r>
      <w:proofErr w:type="spellEnd"/>
      <w:r w:rsidRPr="00ED241B">
        <w:rPr>
          <w:rFonts w:ascii="Arial" w:hAnsi="Arial" w:cs="Arial"/>
          <w:sz w:val="24"/>
          <w:szCs w:val="24"/>
        </w:rPr>
        <w:t>-</w:t>
      </w:r>
    </w:p>
    <w:p w14:paraId="133B0DE0" w14:textId="77777777" w:rsidR="000072B2" w:rsidRPr="00ED241B" w:rsidRDefault="000072B2" w:rsidP="00061597">
      <w:pPr>
        <w:spacing w:after="0" w:line="240" w:lineRule="auto"/>
        <w:ind w:hanging="153"/>
        <w:jc w:val="both"/>
        <w:rPr>
          <w:rFonts w:ascii="Arial" w:hAnsi="Arial" w:cs="Arial"/>
          <w:sz w:val="24"/>
          <w:szCs w:val="24"/>
        </w:rPr>
      </w:pPr>
      <w:proofErr w:type="spellStart"/>
      <w:r w:rsidRPr="00ED241B">
        <w:rPr>
          <w:rFonts w:ascii="Arial" w:hAnsi="Arial" w:cs="Arial"/>
          <w:sz w:val="24"/>
          <w:szCs w:val="24"/>
        </w:rPr>
        <w:t>Nictúria</w:t>
      </w:r>
      <w:proofErr w:type="spellEnd"/>
      <w:r w:rsidRPr="00ED241B">
        <w:rPr>
          <w:rFonts w:ascii="Arial" w:hAnsi="Arial" w:cs="Arial"/>
          <w:sz w:val="24"/>
          <w:szCs w:val="24"/>
        </w:rPr>
        <w:t>-</w:t>
      </w:r>
    </w:p>
    <w:p w14:paraId="5B9017A0" w14:textId="77777777" w:rsidR="00970D42" w:rsidRPr="00ED241B" w:rsidRDefault="00ED241B" w:rsidP="00061597">
      <w:pPr>
        <w:spacing w:after="0" w:line="240" w:lineRule="auto"/>
        <w:ind w:hanging="153"/>
        <w:jc w:val="both"/>
        <w:rPr>
          <w:rFonts w:ascii="Arial" w:hAnsi="Arial" w:cs="Arial"/>
          <w:sz w:val="24"/>
          <w:szCs w:val="24"/>
        </w:rPr>
      </w:pPr>
      <w:r w:rsidRPr="00ED241B">
        <w:rPr>
          <w:rFonts w:ascii="Arial" w:hAnsi="Arial" w:cs="Arial"/>
          <w:sz w:val="24"/>
          <w:szCs w:val="24"/>
        </w:rPr>
        <w:t>Micção-</w:t>
      </w:r>
    </w:p>
    <w:p w14:paraId="41E73961" w14:textId="77777777" w:rsidR="00ED241B" w:rsidRPr="00ED241B" w:rsidRDefault="00ED241B" w:rsidP="00061597">
      <w:pPr>
        <w:spacing w:after="0" w:line="240" w:lineRule="auto"/>
        <w:ind w:hanging="153"/>
        <w:jc w:val="both"/>
        <w:rPr>
          <w:rFonts w:ascii="Arial" w:hAnsi="Arial" w:cs="Arial"/>
          <w:sz w:val="24"/>
          <w:szCs w:val="24"/>
        </w:rPr>
      </w:pPr>
      <w:proofErr w:type="spellStart"/>
      <w:r w:rsidRPr="00ED241B">
        <w:rPr>
          <w:rFonts w:ascii="Arial" w:hAnsi="Arial" w:cs="Arial"/>
          <w:sz w:val="24"/>
          <w:szCs w:val="24"/>
        </w:rPr>
        <w:t>Anúria</w:t>
      </w:r>
      <w:proofErr w:type="spellEnd"/>
      <w:r w:rsidRPr="00ED241B">
        <w:rPr>
          <w:rFonts w:ascii="Arial" w:hAnsi="Arial" w:cs="Arial"/>
          <w:sz w:val="24"/>
          <w:szCs w:val="24"/>
        </w:rPr>
        <w:t>-</w:t>
      </w:r>
    </w:p>
    <w:p w14:paraId="5E91196D" w14:textId="77777777" w:rsidR="00ED241B" w:rsidRPr="00ED241B" w:rsidRDefault="00ED241B" w:rsidP="00061597">
      <w:pPr>
        <w:spacing w:after="0" w:line="240" w:lineRule="auto"/>
        <w:ind w:hanging="153"/>
        <w:jc w:val="both"/>
        <w:rPr>
          <w:rFonts w:ascii="Arial" w:hAnsi="Arial" w:cs="Arial"/>
          <w:sz w:val="24"/>
          <w:szCs w:val="24"/>
        </w:rPr>
      </w:pPr>
      <w:r w:rsidRPr="00ED241B">
        <w:rPr>
          <w:rFonts w:ascii="Arial" w:hAnsi="Arial" w:cs="Arial"/>
          <w:sz w:val="24"/>
          <w:szCs w:val="24"/>
        </w:rPr>
        <w:t>Enurese-</w:t>
      </w:r>
    </w:p>
    <w:p w14:paraId="7F89469B" w14:textId="77777777" w:rsidR="00ED241B" w:rsidRPr="00ED241B" w:rsidRDefault="00ED241B" w:rsidP="00061597">
      <w:pPr>
        <w:spacing w:after="0" w:line="240" w:lineRule="auto"/>
        <w:ind w:hanging="153"/>
        <w:jc w:val="both"/>
        <w:rPr>
          <w:rFonts w:ascii="Arial" w:hAnsi="Arial" w:cs="Arial"/>
          <w:sz w:val="24"/>
          <w:szCs w:val="24"/>
        </w:rPr>
      </w:pPr>
      <w:proofErr w:type="spellStart"/>
      <w:r w:rsidRPr="00ED241B">
        <w:rPr>
          <w:rFonts w:ascii="Arial" w:hAnsi="Arial" w:cs="Arial"/>
          <w:sz w:val="24"/>
          <w:szCs w:val="24"/>
        </w:rPr>
        <w:t>Polaciuria</w:t>
      </w:r>
      <w:proofErr w:type="spellEnd"/>
      <w:r w:rsidRPr="00ED241B">
        <w:rPr>
          <w:rFonts w:ascii="Arial" w:hAnsi="Arial" w:cs="Arial"/>
          <w:sz w:val="24"/>
          <w:szCs w:val="24"/>
        </w:rPr>
        <w:t>-</w:t>
      </w:r>
    </w:p>
    <w:p w14:paraId="5066AA9C" w14:textId="77777777" w:rsidR="000072B2" w:rsidRDefault="00ED241B" w:rsidP="00061597">
      <w:pPr>
        <w:spacing w:after="0" w:line="240" w:lineRule="auto"/>
        <w:ind w:hanging="153"/>
        <w:jc w:val="both"/>
        <w:rPr>
          <w:rFonts w:ascii="Arial" w:hAnsi="Arial" w:cs="Arial"/>
          <w:sz w:val="24"/>
          <w:szCs w:val="24"/>
        </w:rPr>
      </w:pPr>
      <w:proofErr w:type="spellStart"/>
      <w:r w:rsidRPr="00ED241B">
        <w:rPr>
          <w:rFonts w:ascii="Arial" w:hAnsi="Arial" w:cs="Arial"/>
          <w:sz w:val="24"/>
          <w:szCs w:val="24"/>
        </w:rPr>
        <w:t>Piúria</w:t>
      </w:r>
      <w:proofErr w:type="spellEnd"/>
      <w:r w:rsidRPr="00ED241B">
        <w:rPr>
          <w:rFonts w:ascii="Arial" w:hAnsi="Arial" w:cs="Arial"/>
          <w:sz w:val="24"/>
          <w:szCs w:val="24"/>
        </w:rPr>
        <w:t>-</w:t>
      </w:r>
    </w:p>
    <w:p w14:paraId="0DABF7B8" w14:textId="77777777" w:rsidR="00ED241B" w:rsidRDefault="00ED241B" w:rsidP="00061597">
      <w:pPr>
        <w:spacing w:after="0" w:line="240" w:lineRule="auto"/>
        <w:ind w:hanging="15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Oliguria</w:t>
      </w:r>
      <w:proofErr w:type="spellEnd"/>
      <w:r>
        <w:rPr>
          <w:rFonts w:ascii="Arial" w:hAnsi="Arial" w:cs="Arial"/>
          <w:sz w:val="24"/>
          <w:szCs w:val="24"/>
        </w:rPr>
        <w:t>-</w:t>
      </w:r>
    </w:p>
    <w:sectPr w:rsidR="00ED241B" w:rsidSect="00061597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740C98"/>
    <w:multiLevelType w:val="hybridMultilevel"/>
    <w:tmpl w:val="8AD8FA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5E"/>
    <w:rsid w:val="000072B2"/>
    <w:rsid w:val="00061597"/>
    <w:rsid w:val="00284B4D"/>
    <w:rsid w:val="00570CE8"/>
    <w:rsid w:val="00970D42"/>
    <w:rsid w:val="00BF125E"/>
    <w:rsid w:val="00D76534"/>
    <w:rsid w:val="00ED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0DB9"/>
  <w15:docId w15:val="{AA5300FE-F143-4005-A39E-77597418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1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Cliente</cp:lastModifiedBy>
  <cp:revision>2</cp:revision>
  <dcterms:created xsi:type="dcterms:W3CDTF">2022-10-24T12:45:00Z</dcterms:created>
  <dcterms:modified xsi:type="dcterms:W3CDTF">2022-10-24T12:45:00Z</dcterms:modified>
</cp:coreProperties>
</file>