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E5AB5" w14:textId="1A6C7C68" w:rsidR="00986919" w:rsidRDefault="00EB32F9" w:rsidP="003B4FFC">
      <w:pPr>
        <w:tabs>
          <w:tab w:val="left" w:pos="142"/>
        </w:tabs>
        <w:spacing w:after="0" w:line="240" w:lineRule="auto"/>
        <w:ind w:left="-567" w:right="-851"/>
        <w:jc w:val="center"/>
        <w:rPr>
          <w:rFonts w:ascii="Arial" w:hAnsi="Arial" w:cs="Arial"/>
          <w:b/>
          <w:bCs/>
          <w:sz w:val="20"/>
          <w:szCs w:val="20"/>
        </w:rPr>
      </w:pPr>
      <w:r>
        <w:rPr>
          <w:rFonts w:ascii="Arial" w:hAnsi="Arial" w:cs="Arial"/>
          <w:b/>
          <w:bCs/>
          <w:sz w:val="20"/>
          <w:szCs w:val="20"/>
        </w:rPr>
        <w:t>M</w:t>
      </w:r>
      <w:r w:rsidR="003B4FFC" w:rsidRPr="003B4FFC">
        <w:rPr>
          <w:rFonts w:ascii="Arial" w:hAnsi="Arial" w:cs="Arial"/>
          <w:b/>
          <w:bCs/>
          <w:sz w:val="20"/>
          <w:szCs w:val="20"/>
        </w:rPr>
        <w:t>anejo</w:t>
      </w:r>
      <w:r w:rsidR="00986919" w:rsidRPr="003B4FFC">
        <w:rPr>
          <w:rFonts w:ascii="Arial" w:hAnsi="Arial" w:cs="Arial"/>
          <w:b/>
          <w:bCs/>
          <w:sz w:val="20"/>
          <w:szCs w:val="20"/>
        </w:rPr>
        <w:t xml:space="preserve"> de surtos de Doenças de Transmissão Hídrica e Alimentar (DTHA) e Doença Diarreica Aguda (DDA).</w:t>
      </w:r>
    </w:p>
    <w:p w14:paraId="5D6B85E4" w14:textId="77777777" w:rsidR="008035CB" w:rsidRPr="003B4FFC" w:rsidRDefault="008035CB" w:rsidP="003B4FFC">
      <w:pPr>
        <w:tabs>
          <w:tab w:val="left" w:pos="142"/>
        </w:tabs>
        <w:spacing w:after="0" w:line="240" w:lineRule="auto"/>
        <w:ind w:left="-567" w:right="-851"/>
        <w:jc w:val="center"/>
        <w:rPr>
          <w:rFonts w:ascii="Arial" w:hAnsi="Arial" w:cs="Arial"/>
          <w:b/>
          <w:bCs/>
          <w:sz w:val="20"/>
          <w:szCs w:val="20"/>
        </w:rPr>
      </w:pPr>
    </w:p>
    <w:p w14:paraId="59803436" w14:textId="244E7BDD" w:rsidR="00986919" w:rsidRPr="00EB32F9" w:rsidRDefault="00986919" w:rsidP="00575ABE">
      <w:pPr>
        <w:tabs>
          <w:tab w:val="left" w:pos="142"/>
        </w:tabs>
        <w:spacing w:after="0" w:line="240" w:lineRule="auto"/>
        <w:ind w:left="-567" w:right="-851" w:firstLine="708"/>
        <w:jc w:val="both"/>
        <w:rPr>
          <w:rFonts w:cstheme="minorHAnsi"/>
        </w:rPr>
      </w:pPr>
      <w:r w:rsidRPr="00EB32F9">
        <w:rPr>
          <w:rFonts w:cstheme="minorHAnsi"/>
        </w:rPr>
        <w:t xml:space="preserve">As </w:t>
      </w:r>
      <w:r w:rsidRPr="00EB32F9">
        <w:rPr>
          <w:rFonts w:cstheme="minorHAnsi"/>
          <w:b/>
          <w:bCs/>
        </w:rPr>
        <w:t>doenças de transmissão hídrica e alimentar (DTHA)</w:t>
      </w:r>
      <w:r w:rsidRPr="00EB32F9">
        <w:rPr>
          <w:rFonts w:cstheme="minorHAnsi"/>
        </w:rPr>
        <w:t xml:space="preserve"> são causadas pela ingestão de alimentos ou bebidas contaminados. </w:t>
      </w:r>
      <w:r w:rsidR="00B2563B" w:rsidRPr="00EB32F9">
        <w:rPr>
          <w:rFonts w:cstheme="minorHAnsi"/>
          <w:shd w:val="clear" w:color="auto" w:fill="FFFFFF"/>
        </w:rPr>
        <w:t xml:space="preserve">que ocorrem quando </w:t>
      </w:r>
      <w:r w:rsidR="002E01F8" w:rsidRPr="00EB32F9">
        <w:rPr>
          <w:rFonts w:cstheme="minorHAnsi"/>
          <w:shd w:val="clear" w:color="auto" w:fill="FFFFFF"/>
        </w:rPr>
        <w:t>microrganismos</w:t>
      </w:r>
      <w:bookmarkStart w:id="0" w:name="_GoBack"/>
      <w:bookmarkEnd w:id="0"/>
      <w:r w:rsidR="00B2563B" w:rsidRPr="00EB32F9">
        <w:rPr>
          <w:rFonts w:cstheme="minorHAnsi"/>
          <w:shd w:val="clear" w:color="auto" w:fill="FFFFFF"/>
        </w:rPr>
        <w:t xml:space="preserve"> prejudiciais </w:t>
      </w:r>
      <w:r w:rsidR="008035CB" w:rsidRPr="00EB32F9">
        <w:rPr>
          <w:rFonts w:cstheme="minorHAnsi"/>
          <w:shd w:val="clear" w:color="auto" w:fill="FFFFFF"/>
        </w:rPr>
        <w:t>à</w:t>
      </w:r>
      <w:r w:rsidR="00B2563B" w:rsidRPr="00EB32F9">
        <w:rPr>
          <w:rFonts w:cstheme="minorHAnsi"/>
          <w:shd w:val="clear" w:color="auto" w:fill="FFFFFF"/>
        </w:rPr>
        <w:t xml:space="preserve"> saúde (vírus, bactérias, parasitos, príons) ou substâncias tóxicas estão presentes nos alimentos. Os sintomas mais comuns de DTA são náuseas, vômitos, diarreias, as vezes com sangue e muco, dores abdominais, cefaleia, febre, prostração, dores musculares, alteração da visão entre outros. Para adultos sadios tem duração de poucos dias, e não deixa sequelas, para as crianças, gestantes, idosos e imunodeprimidos, as consequências podem ser mais graves, podendo inclusive, levar a óbito. </w:t>
      </w:r>
      <w:r w:rsidRPr="00EB32F9">
        <w:rPr>
          <w:rFonts w:cstheme="minorHAnsi"/>
        </w:rPr>
        <w:t xml:space="preserve">Podem ser identificadas quando uma ou mais pessoas apresentam sintomas similares, após a ingestão de alimentos contaminados com </w:t>
      </w:r>
      <w:r w:rsidR="00CB3C68" w:rsidRPr="00EB32F9">
        <w:rPr>
          <w:rFonts w:cstheme="minorHAnsi"/>
        </w:rPr>
        <w:t>microrganismos</w:t>
      </w:r>
      <w:r w:rsidRPr="00EB32F9">
        <w:rPr>
          <w:rFonts w:cstheme="minorHAnsi"/>
        </w:rPr>
        <w:t xml:space="preserve"> patogênicos ou suas toxinas, configurando uma fonte comum. </w:t>
      </w:r>
    </w:p>
    <w:p w14:paraId="4880B92A" w14:textId="0005EF04" w:rsidR="00986919" w:rsidRPr="00EB32F9" w:rsidRDefault="00986919" w:rsidP="00575ABE">
      <w:pPr>
        <w:tabs>
          <w:tab w:val="left" w:pos="142"/>
        </w:tabs>
        <w:spacing w:after="0" w:line="240" w:lineRule="auto"/>
        <w:ind w:left="-567" w:right="-851" w:firstLine="708"/>
        <w:jc w:val="both"/>
        <w:rPr>
          <w:rFonts w:cstheme="minorHAnsi"/>
        </w:rPr>
      </w:pPr>
      <w:r w:rsidRPr="00EB32F9">
        <w:rPr>
          <w:rFonts w:cstheme="minorHAnsi"/>
        </w:rPr>
        <w:t xml:space="preserve">A </w:t>
      </w:r>
      <w:r w:rsidRPr="00EB32F9">
        <w:rPr>
          <w:rFonts w:cstheme="minorHAnsi"/>
          <w:b/>
          <w:bCs/>
        </w:rPr>
        <w:t>doença diarreica aguda (DDA)</w:t>
      </w:r>
      <w:r w:rsidRPr="00EB32F9">
        <w:rPr>
          <w:rFonts w:cstheme="minorHAnsi"/>
        </w:rPr>
        <w:t xml:space="preserve"> é uma síndrome causada por diferentes agentes etiológicos, cuja a manifestação predominante é o aumento do número de evacuações, com fezes aquosas ou de pouca consistência. Podem ser acompanhadas de náusea, vômito, febre e dor abdominal. As formas variam desde leves até graves, com desidratação e distúrbios eletrolíticos, principalmente quando associadas à desnutrição. </w:t>
      </w:r>
    </w:p>
    <w:p w14:paraId="7D827169" w14:textId="60785534" w:rsidR="008819ED" w:rsidRPr="00EB32F9" w:rsidRDefault="00B2563B" w:rsidP="00446D86">
      <w:pPr>
        <w:tabs>
          <w:tab w:val="left" w:pos="142"/>
        </w:tabs>
        <w:spacing w:after="0" w:line="240" w:lineRule="auto"/>
        <w:ind w:left="-567" w:right="-852"/>
        <w:jc w:val="both"/>
        <w:rPr>
          <w:rFonts w:cstheme="minorHAnsi"/>
        </w:rPr>
      </w:pPr>
      <w:r w:rsidRPr="00EB32F9">
        <w:rPr>
          <w:rStyle w:val="Forte"/>
          <w:rFonts w:cstheme="minorHAnsi"/>
          <w:b w:val="0"/>
          <w:bCs w:val="0"/>
          <w:shd w:val="clear" w:color="auto" w:fill="FFFFFF"/>
        </w:rPr>
        <w:tab/>
        <w:t xml:space="preserve">A </w:t>
      </w:r>
      <w:r w:rsidRPr="00EB32F9">
        <w:rPr>
          <w:rStyle w:val="Forte"/>
          <w:rFonts w:cstheme="minorHAnsi"/>
          <w:shd w:val="clear" w:color="auto" w:fill="FFFFFF"/>
        </w:rPr>
        <w:t>Intoxicação exógena</w:t>
      </w:r>
      <w:r w:rsidRPr="00EB32F9">
        <w:rPr>
          <w:rStyle w:val="Forte"/>
          <w:rFonts w:cstheme="minorHAnsi"/>
          <w:b w:val="0"/>
          <w:bCs w:val="0"/>
          <w:shd w:val="clear" w:color="auto" w:fill="FFFFFF"/>
        </w:rPr>
        <w:t xml:space="preserve"> é</w:t>
      </w:r>
      <w:r w:rsidRPr="00EB32F9">
        <w:rPr>
          <w:rFonts w:cstheme="minorHAnsi"/>
          <w:shd w:val="clear" w:color="auto" w:fill="FFFFFF"/>
        </w:rPr>
        <w:t xml:space="preserve"> o conjunto de efeitos nocivos representados por manifestações clínicas ou laboratoriais que revelam o desequilíbrio orgânico produzido pela interação de um ou mais agentes tóxicos com o sistema biológico. Todo aquele indivíduo que, tendo sido exposto a substâncias químicas (agrotóxicos, medicamentos, produtos de uso doméstico, cosméticos e higiene pessoal, produtos químicos de uso industrial, drogas, plantas, alimentos e bebidas), apresente sinais e sintomas clínicos de intoxicação e/ou alterações laboratoriais provavelmente ou possivelmente compatíveis. A intoxicação exógena é de notificação compulsória (portaria 204/2016 MS).</w:t>
      </w:r>
    </w:p>
    <w:p w14:paraId="06105C82" w14:textId="77777777" w:rsidR="00B2563B" w:rsidRPr="00EB32F9" w:rsidRDefault="00B2563B" w:rsidP="00446D86">
      <w:pPr>
        <w:tabs>
          <w:tab w:val="left" w:pos="142"/>
        </w:tabs>
        <w:spacing w:after="0" w:line="240" w:lineRule="auto"/>
        <w:ind w:left="-567" w:right="-852"/>
        <w:jc w:val="both"/>
        <w:rPr>
          <w:rFonts w:cstheme="minorHAnsi"/>
        </w:rPr>
      </w:pPr>
    </w:p>
    <w:p w14:paraId="706B3AB6" w14:textId="4DA8E9A9" w:rsidR="00986919" w:rsidRPr="00EB32F9" w:rsidRDefault="00F079E4" w:rsidP="00446D86">
      <w:pPr>
        <w:tabs>
          <w:tab w:val="left" w:pos="142"/>
        </w:tabs>
        <w:spacing w:after="0" w:line="240" w:lineRule="auto"/>
        <w:ind w:left="-567" w:right="-852"/>
        <w:jc w:val="both"/>
        <w:rPr>
          <w:rFonts w:cstheme="minorHAnsi"/>
          <w:b/>
          <w:bCs/>
        </w:rPr>
      </w:pPr>
      <w:r w:rsidRPr="00EB32F9">
        <w:rPr>
          <w:rFonts w:cstheme="minorHAnsi"/>
          <w:b/>
          <w:bCs/>
        </w:rPr>
        <w:t>Surto de doenças de transmissão hídrica e alimentar (</w:t>
      </w:r>
      <w:r w:rsidR="00E75B1B" w:rsidRPr="00EB32F9">
        <w:rPr>
          <w:rFonts w:cstheme="minorHAnsi"/>
          <w:b/>
          <w:bCs/>
        </w:rPr>
        <w:t>DTHA</w:t>
      </w:r>
      <w:r w:rsidRPr="00EB32F9">
        <w:rPr>
          <w:rFonts w:cstheme="minorHAnsi"/>
          <w:b/>
          <w:bCs/>
        </w:rPr>
        <w:t xml:space="preserve">) </w:t>
      </w:r>
    </w:p>
    <w:p w14:paraId="274671C8" w14:textId="5AAA294F" w:rsidR="00986919" w:rsidRPr="00EB32F9" w:rsidRDefault="00986919" w:rsidP="00446D86">
      <w:pPr>
        <w:tabs>
          <w:tab w:val="left" w:pos="142"/>
        </w:tabs>
        <w:spacing w:after="0" w:line="240" w:lineRule="auto"/>
        <w:ind w:left="-567" w:right="-852"/>
        <w:jc w:val="both"/>
        <w:rPr>
          <w:rFonts w:cstheme="minorHAnsi"/>
        </w:rPr>
      </w:pPr>
      <w:r w:rsidRPr="00EB32F9">
        <w:rPr>
          <w:rFonts w:cstheme="minorHAnsi"/>
        </w:rPr>
        <w:t>Definição: Duas ou mais pessoas que apresentam sintomas similares, após a ingestão de alimentos contaminados com micro-organismos patogênicos ou suas toxinas, configurando uma fonte comum.</w:t>
      </w:r>
    </w:p>
    <w:p w14:paraId="3EBBEB59" w14:textId="4A409A43" w:rsidR="00986919" w:rsidRPr="00EB32F9" w:rsidRDefault="00986919" w:rsidP="00446D86">
      <w:pPr>
        <w:tabs>
          <w:tab w:val="left" w:pos="142"/>
        </w:tabs>
        <w:spacing w:after="0" w:line="240" w:lineRule="auto"/>
        <w:ind w:left="-567" w:right="-852"/>
        <w:jc w:val="both"/>
        <w:rPr>
          <w:rFonts w:cstheme="minorHAnsi"/>
        </w:rPr>
      </w:pPr>
    </w:p>
    <w:p w14:paraId="2CE80D19" w14:textId="77777777" w:rsidR="00986919" w:rsidRPr="00EB32F9" w:rsidRDefault="00986919" w:rsidP="00446D86">
      <w:pPr>
        <w:tabs>
          <w:tab w:val="left" w:pos="142"/>
        </w:tabs>
        <w:spacing w:after="0" w:line="240" w:lineRule="auto"/>
        <w:ind w:left="-567" w:right="-852"/>
        <w:jc w:val="both"/>
        <w:rPr>
          <w:rFonts w:cstheme="minorHAnsi"/>
        </w:rPr>
      </w:pPr>
      <w:r w:rsidRPr="00EB32F9">
        <w:rPr>
          <w:rFonts w:cstheme="minorHAnsi"/>
        </w:rPr>
        <w:t xml:space="preserve">1. </w:t>
      </w:r>
      <w:bookmarkStart w:id="1" w:name="_Hlk74122265"/>
      <w:r w:rsidRPr="00EB32F9">
        <w:rPr>
          <w:rFonts w:cstheme="minorHAnsi"/>
        </w:rPr>
        <w:t>Vigilância Epidemiológica (VE)</w:t>
      </w:r>
    </w:p>
    <w:p w14:paraId="54CD1760" w14:textId="77777777" w:rsidR="00986919" w:rsidRPr="00EB32F9" w:rsidRDefault="00986919" w:rsidP="00446D86">
      <w:pPr>
        <w:tabs>
          <w:tab w:val="left" w:pos="142"/>
        </w:tabs>
        <w:spacing w:after="0" w:line="240" w:lineRule="auto"/>
        <w:ind w:left="-567" w:right="-852"/>
        <w:jc w:val="both"/>
        <w:rPr>
          <w:rFonts w:cstheme="minorHAnsi"/>
        </w:rPr>
      </w:pPr>
    </w:p>
    <w:p w14:paraId="3CA6CDC7" w14:textId="66F3C97F" w:rsidR="00986919" w:rsidRPr="00EB32F9" w:rsidRDefault="00575ABE" w:rsidP="00446D86">
      <w:pPr>
        <w:tabs>
          <w:tab w:val="left" w:pos="142"/>
        </w:tabs>
        <w:spacing w:after="0" w:line="240" w:lineRule="auto"/>
        <w:ind w:left="-567" w:right="-852"/>
        <w:jc w:val="both"/>
        <w:rPr>
          <w:rFonts w:cstheme="minorHAnsi"/>
        </w:rPr>
      </w:pPr>
      <w:r w:rsidRPr="00EB32F9">
        <w:rPr>
          <w:rFonts w:cstheme="minorHAnsi"/>
        </w:rPr>
        <w:tab/>
      </w:r>
      <w:r w:rsidR="00986919" w:rsidRPr="00EB32F9">
        <w:rPr>
          <w:rFonts w:cstheme="minorHAnsi"/>
        </w:rPr>
        <w:t>A VE municipal, ao receber a comunicação de surto de DTHA, deve comunicar imediatamente a Vigilância Sanitária (VISA) municipal e preencher o Formulário 01 (Anexo 1) encaminhando para a Regional de Saúde, seguindo o fluxo de notificação.</w:t>
      </w:r>
      <w:r w:rsidR="003B4FFC" w:rsidRPr="00EB32F9">
        <w:rPr>
          <w:rFonts w:cstheme="minorHAnsi"/>
        </w:rPr>
        <w:t xml:space="preserve"> E o </w:t>
      </w:r>
      <w:bookmarkEnd w:id="1"/>
      <w:r w:rsidR="00986919" w:rsidRPr="00EB32F9">
        <w:rPr>
          <w:rFonts w:cstheme="minorHAnsi"/>
        </w:rPr>
        <w:t>preenchimento do Formulário 01 caracteriza a primeira etapa da investigação e sua continuidade deve ser dada com o preenchimento dos Formulários 02 (Inquérito coletivo) e 03</w:t>
      </w:r>
      <w:r w:rsidR="008C4428" w:rsidRPr="00EB32F9">
        <w:rPr>
          <w:rFonts w:cstheme="minorHAnsi"/>
        </w:rPr>
        <w:t xml:space="preserve"> </w:t>
      </w:r>
      <w:r w:rsidR="00986919" w:rsidRPr="00EB32F9">
        <w:rPr>
          <w:rFonts w:cstheme="minorHAnsi"/>
        </w:rPr>
        <w:t>(Processamento dos dados) para obtenção do Período de Incubação e Taxa de Ataque dos alimentos.</w:t>
      </w:r>
    </w:p>
    <w:p w14:paraId="314FC3B3" w14:textId="06E1EFBD" w:rsidR="00446D86" w:rsidRPr="00EB32F9" w:rsidRDefault="00986919" w:rsidP="00446D86">
      <w:pPr>
        <w:tabs>
          <w:tab w:val="left" w:pos="142"/>
        </w:tabs>
        <w:spacing w:after="0" w:line="240" w:lineRule="auto"/>
        <w:ind w:left="-567" w:right="-852"/>
        <w:jc w:val="both"/>
        <w:rPr>
          <w:rFonts w:cstheme="minorHAnsi"/>
        </w:rPr>
      </w:pPr>
      <w:r w:rsidRPr="00EB32F9">
        <w:rPr>
          <w:rFonts w:cstheme="minorHAnsi"/>
        </w:rPr>
        <w:t>OBS: Se faz necessário preencher corretamente o inquérito coletivo, realizando</w:t>
      </w:r>
      <w:r w:rsidR="008C4428" w:rsidRPr="00EB32F9">
        <w:rPr>
          <w:rFonts w:cstheme="minorHAnsi"/>
        </w:rPr>
        <w:t xml:space="preserve"> </w:t>
      </w:r>
      <w:r w:rsidRPr="00EB32F9">
        <w:rPr>
          <w:rFonts w:cstheme="minorHAnsi"/>
        </w:rPr>
        <w:t>inquéritos separados para doentes e não doentes (em planilhas separadas):</w:t>
      </w:r>
    </w:p>
    <w:p w14:paraId="3203E4C0" w14:textId="163F9E33" w:rsidR="00C0180E" w:rsidRPr="00EB32F9" w:rsidRDefault="003B4FFC" w:rsidP="008819ED">
      <w:pPr>
        <w:spacing w:after="0" w:line="240" w:lineRule="auto"/>
        <w:ind w:left="-567" w:right="-852" w:firstLine="567"/>
        <w:jc w:val="both"/>
        <w:rPr>
          <w:rFonts w:cstheme="minorHAnsi"/>
        </w:rPr>
      </w:pPr>
      <w:r w:rsidRPr="00EB32F9">
        <w:rPr>
          <w:rFonts w:cstheme="minorHAnsi"/>
        </w:rPr>
        <w:t xml:space="preserve">Para a </w:t>
      </w:r>
      <w:bookmarkStart w:id="2" w:name="_Hlk74122747"/>
      <w:r w:rsidRPr="00EB32F9">
        <w:rPr>
          <w:rFonts w:cstheme="minorHAnsi"/>
        </w:rPr>
        <w:t>c</w:t>
      </w:r>
      <w:r w:rsidR="00C0180E" w:rsidRPr="00EB32F9">
        <w:rPr>
          <w:rFonts w:cstheme="minorHAnsi"/>
        </w:rPr>
        <w:t>oleta de Amostras Biológicas</w:t>
      </w:r>
      <w:r w:rsidRPr="00EB32F9">
        <w:rPr>
          <w:rFonts w:cstheme="minorHAnsi"/>
        </w:rPr>
        <w:t xml:space="preserve"> ut</w:t>
      </w:r>
      <w:r w:rsidR="00C0180E" w:rsidRPr="00EB32F9">
        <w:rPr>
          <w:rFonts w:cstheme="minorHAnsi"/>
        </w:rPr>
        <w:t>ilizar o Manual de Orientação para Coleta, Acondicionamento e Transporte de Amostras Biológicas do Lacen, disponível no site do Lacen (www.lacen.saude.sc.gov.br, em Documentos&gt; Manuais).</w:t>
      </w:r>
      <w:r w:rsidR="008819ED" w:rsidRPr="00EB32F9">
        <w:rPr>
          <w:rFonts w:cstheme="minorHAnsi"/>
        </w:rPr>
        <w:t xml:space="preserve"> </w:t>
      </w:r>
      <w:r w:rsidR="00C0180E" w:rsidRPr="00EB32F9">
        <w:rPr>
          <w:rFonts w:cstheme="minorHAnsi"/>
        </w:rPr>
        <w:t>Devem ser coletadas e enviadas ao Lacen o quantitativo de amostras conforme segue:</w:t>
      </w:r>
    </w:p>
    <w:p w14:paraId="5A6B6A26" w14:textId="77777777" w:rsidR="00C0180E" w:rsidRPr="00EB32F9" w:rsidRDefault="00C0180E" w:rsidP="00C0180E">
      <w:pPr>
        <w:spacing w:after="0" w:line="240" w:lineRule="auto"/>
        <w:ind w:left="-567" w:right="-852"/>
        <w:jc w:val="both"/>
        <w:rPr>
          <w:rFonts w:cstheme="minorHAnsi"/>
        </w:rPr>
      </w:pPr>
      <w:r w:rsidRPr="00EB32F9">
        <w:rPr>
          <w:rFonts w:cstheme="minorHAnsi"/>
        </w:rPr>
        <w:t>● Surtos até 50 doentes = 05 amostras</w:t>
      </w:r>
    </w:p>
    <w:p w14:paraId="65D409D2" w14:textId="77777777" w:rsidR="00C0180E" w:rsidRPr="00EB32F9" w:rsidRDefault="00C0180E" w:rsidP="00C0180E">
      <w:pPr>
        <w:spacing w:after="0" w:line="240" w:lineRule="auto"/>
        <w:ind w:left="-567" w:right="-852"/>
        <w:jc w:val="both"/>
        <w:rPr>
          <w:rFonts w:cstheme="minorHAnsi"/>
        </w:rPr>
      </w:pPr>
      <w:r w:rsidRPr="00EB32F9">
        <w:rPr>
          <w:rFonts w:cstheme="minorHAnsi"/>
        </w:rPr>
        <w:t>● Surtos acima de 50 doentes = 10% do total de doentes</w:t>
      </w:r>
    </w:p>
    <w:p w14:paraId="1289AB36" w14:textId="77777777" w:rsidR="00C0180E" w:rsidRPr="00EB32F9" w:rsidRDefault="00C0180E" w:rsidP="00C0180E">
      <w:pPr>
        <w:spacing w:after="0" w:line="240" w:lineRule="auto"/>
        <w:ind w:left="-567" w:right="-852"/>
        <w:jc w:val="both"/>
        <w:rPr>
          <w:rFonts w:cstheme="minorHAnsi"/>
        </w:rPr>
      </w:pPr>
      <w:r w:rsidRPr="00EB32F9">
        <w:rPr>
          <w:rFonts w:cstheme="minorHAnsi"/>
        </w:rPr>
        <w:t>● Manipuladores = 100%</w:t>
      </w:r>
    </w:p>
    <w:bookmarkEnd w:id="2"/>
    <w:p w14:paraId="1B786E88" w14:textId="37595143" w:rsidR="00C0180E" w:rsidRPr="00EB32F9" w:rsidRDefault="00C0180E" w:rsidP="008C4428">
      <w:pPr>
        <w:spacing w:after="0" w:line="240" w:lineRule="auto"/>
        <w:ind w:left="-567" w:right="-852" w:firstLine="567"/>
        <w:jc w:val="both"/>
        <w:rPr>
          <w:rFonts w:cstheme="minorHAnsi"/>
        </w:rPr>
      </w:pPr>
      <w:r w:rsidRPr="00EB32F9">
        <w:rPr>
          <w:rFonts w:cstheme="minorHAnsi"/>
        </w:rPr>
        <w:t>As amostras devem ser encaminhadas ao Lacen, após cadastro no sistema Gerenciador de Ambiente Laboratorial (GAL), com a referida requisição do GAL e Formulário 01 (Anexo 1), ambos corretamente preenchidos, sendo imprescindível o preenchimento de todos os campos.</w:t>
      </w:r>
    </w:p>
    <w:p w14:paraId="4A45B0AC" w14:textId="77777777" w:rsidR="008819ED" w:rsidRPr="00EB32F9" w:rsidRDefault="008819ED" w:rsidP="00C0180E">
      <w:pPr>
        <w:spacing w:after="0" w:line="240" w:lineRule="auto"/>
        <w:ind w:left="-567" w:right="-852"/>
        <w:jc w:val="both"/>
        <w:rPr>
          <w:rFonts w:cstheme="minorHAnsi"/>
        </w:rPr>
      </w:pPr>
    </w:p>
    <w:p w14:paraId="7635257B" w14:textId="36C54DC8" w:rsidR="00C0180E" w:rsidRPr="00EB32F9" w:rsidRDefault="00C0180E" w:rsidP="00C0180E">
      <w:pPr>
        <w:spacing w:after="0" w:line="240" w:lineRule="auto"/>
        <w:ind w:left="-567" w:right="-852"/>
        <w:jc w:val="both"/>
        <w:rPr>
          <w:rFonts w:cstheme="minorHAnsi"/>
        </w:rPr>
      </w:pPr>
      <w:bookmarkStart w:id="3" w:name="_Hlk74122869"/>
      <w:r w:rsidRPr="00EB32F9">
        <w:rPr>
          <w:rFonts w:cstheme="minorHAnsi"/>
        </w:rPr>
        <w:t>As amostras serão rejeitadas quando:</w:t>
      </w:r>
    </w:p>
    <w:bookmarkEnd w:id="3"/>
    <w:p w14:paraId="42C5C994" w14:textId="293650E8" w:rsidR="00C0180E" w:rsidRPr="00EB32F9" w:rsidRDefault="00C0180E" w:rsidP="00C0180E">
      <w:pPr>
        <w:spacing w:after="0" w:line="240" w:lineRule="auto"/>
        <w:ind w:left="-567" w:right="-852"/>
        <w:jc w:val="both"/>
        <w:rPr>
          <w:rFonts w:cstheme="minorHAnsi"/>
        </w:rPr>
      </w:pPr>
      <w:r w:rsidRPr="00EB32F9">
        <w:rPr>
          <w:rFonts w:cstheme="minorHAnsi"/>
        </w:rPr>
        <w:t xml:space="preserve"> Coletadas em meio de transporte </w:t>
      </w:r>
      <w:proofErr w:type="spellStart"/>
      <w:r w:rsidRPr="00EB32F9">
        <w:rPr>
          <w:rFonts w:cstheme="minorHAnsi"/>
        </w:rPr>
        <w:t>Cary</w:t>
      </w:r>
      <w:proofErr w:type="spellEnd"/>
      <w:r w:rsidRPr="00EB32F9">
        <w:rPr>
          <w:rFonts w:cstheme="minorHAnsi"/>
        </w:rPr>
        <w:t>-Blair há mais de 72 horas em temperatura ambiente;</w:t>
      </w:r>
    </w:p>
    <w:p w14:paraId="38D319F1" w14:textId="77777777" w:rsidR="00C0180E" w:rsidRPr="00EB32F9" w:rsidRDefault="00C0180E" w:rsidP="00C0180E">
      <w:pPr>
        <w:spacing w:after="0" w:line="240" w:lineRule="auto"/>
        <w:ind w:left="-567" w:right="-852"/>
        <w:jc w:val="both"/>
        <w:rPr>
          <w:rFonts w:cstheme="minorHAnsi"/>
        </w:rPr>
      </w:pPr>
      <w:r w:rsidRPr="00EB32F9">
        <w:rPr>
          <w:rFonts w:cstheme="minorHAnsi"/>
        </w:rPr>
        <w:t xml:space="preserve"> </w:t>
      </w:r>
      <w:proofErr w:type="spellStart"/>
      <w:r w:rsidRPr="00EB32F9">
        <w:rPr>
          <w:rFonts w:cstheme="minorHAnsi"/>
        </w:rPr>
        <w:t>Swab</w:t>
      </w:r>
      <w:proofErr w:type="spellEnd"/>
      <w:r w:rsidRPr="00EB32F9">
        <w:rPr>
          <w:rFonts w:cstheme="minorHAnsi"/>
        </w:rPr>
        <w:t xml:space="preserve"> não acondicionado em meio de transporte </w:t>
      </w:r>
      <w:proofErr w:type="spellStart"/>
      <w:r w:rsidRPr="00EB32F9">
        <w:rPr>
          <w:rFonts w:cstheme="minorHAnsi"/>
        </w:rPr>
        <w:t>Cary</w:t>
      </w:r>
      <w:proofErr w:type="spellEnd"/>
      <w:r w:rsidRPr="00EB32F9">
        <w:rPr>
          <w:rFonts w:cstheme="minorHAnsi"/>
        </w:rPr>
        <w:t>-Blair;</w:t>
      </w:r>
    </w:p>
    <w:p w14:paraId="159710F7" w14:textId="77777777" w:rsidR="00C0180E" w:rsidRPr="00EB32F9" w:rsidRDefault="00C0180E" w:rsidP="00C0180E">
      <w:pPr>
        <w:spacing w:after="0" w:line="240" w:lineRule="auto"/>
        <w:ind w:left="-567" w:right="-852"/>
        <w:jc w:val="both"/>
        <w:rPr>
          <w:rFonts w:cstheme="minorHAnsi"/>
        </w:rPr>
      </w:pPr>
      <w:r w:rsidRPr="00EB32F9">
        <w:rPr>
          <w:rFonts w:cstheme="minorHAnsi"/>
        </w:rPr>
        <w:t> Meio de transporte com validade vencida;</w:t>
      </w:r>
    </w:p>
    <w:p w14:paraId="5F72821C" w14:textId="77777777" w:rsidR="00C0180E" w:rsidRPr="00EB32F9" w:rsidRDefault="00C0180E" w:rsidP="00C0180E">
      <w:pPr>
        <w:spacing w:after="0" w:line="240" w:lineRule="auto"/>
        <w:ind w:left="-567" w:right="-852"/>
        <w:jc w:val="both"/>
        <w:rPr>
          <w:rFonts w:cstheme="minorHAnsi"/>
        </w:rPr>
      </w:pPr>
      <w:r w:rsidRPr="00EB32F9">
        <w:rPr>
          <w:rFonts w:cstheme="minorHAnsi"/>
        </w:rPr>
        <w:t> Meio de transporte contaminado.</w:t>
      </w:r>
    </w:p>
    <w:p w14:paraId="73ED61C3" w14:textId="77777777" w:rsidR="00575ABE" w:rsidRPr="00EB32F9" w:rsidRDefault="00575ABE" w:rsidP="00C0180E">
      <w:pPr>
        <w:spacing w:after="0" w:line="240" w:lineRule="auto"/>
        <w:ind w:left="-567" w:right="-852"/>
        <w:jc w:val="both"/>
        <w:rPr>
          <w:rFonts w:cstheme="minorHAnsi"/>
        </w:rPr>
      </w:pPr>
    </w:p>
    <w:p w14:paraId="29056222" w14:textId="77777777" w:rsidR="00C0180E" w:rsidRPr="00EB32F9" w:rsidRDefault="00C0180E" w:rsidP="00C0180E">
      <w:pPr>
        <w:spacing w:after="0" w:line="240" w:lineRule="auto"/>
        <w:ind w:left="-567" w:right="-852"/>
        <w:jc w:val="both"/>
        <w:rPr>
          <w:rFonts w:cstheme="minorHAnsi"/>
        </w:rPr>
      </w:pPr>
      <w:r w:rsidRPr="00EB32F9">
        <w:rPr>
          <w:rFonts w:cstheme="minorHAnsi"/>
        </w:rPr>
        <w:t>2. Vigilância Sanitária</w:t>
      </w:r>
    </w:p>
    <w:p w14:paraId="2C6C8BC1" w14:textId="77777777" w:rsidR="008C4428" w:rsidRPr="00EB32F9" w:rsidRDefault="008C4428" w:rsidP="00C0180E">
      <w:pPr>
        <w:spacing w:after="0" w:line="240" w:lineRule="auto"/>
        <w:ind w:left="-567" w:right="-852"/>
        <w:jc w:val="both"/>
        <w:rPr>
          <w:rFonts w:cstheme="minorHAnsi"/>
        </w:rPr>
      </w:pPr>
    </w:p>
    <w:p w14:paraId="61A6B096" w14:textId="77777777" w:rsidR="008035CB" w:rsidRPr="00EB32F9" w:rsidRDefault="00C0180E" w:rsidP="008035CB">
      <w:pPr>
        <w:spacing w:after="0" w:line="240" w:lineRule="auto"/>
        <w:ind w:left="-567" w:right="-852" w:firstLine="567"/>
        <w:jc w:val="both"/>
        <w:rPr>
          <w:rFonts w:cstheme="minorHAnsi"/>
        </w:rPr>
      </w:pPr>
      <w:r w:rsidRPr="00EB32F9">
        <w:rPr>
          <w:rFonts w:cstheme="minorHAnsi"/>
        </w:rPr>
        <w:lastRenderedPageBreak/>
        <w:t>A VISA municipal ao receber a comunicação de surto de DTHA deve imediatamente comunicar à VE municipal e preencher o Formulário 01 (Anexo 1). Deverá também comunicar a Divisão de Alimentos/DIVS e a Regional de Saúde, seguindo o fluxo de notificação.</w:t>
      </w:r>
      <w:r w:rsidR="00456BC9" w:rsidRPr="00EB32F9">
        <w:rPr>
          <w:rFonts w:cstheme="minorHAnsi"/>
        </w:rPr>
        <w:t xml:space="preserve"> </w:t>
      </w:r>
      <w:r w:rsidRPr="00EB32F9">
        <w:rPr>
          <w:rFonts w:cstheme="minorHAnsi"/>
        </w:rPr>
        <w:t>A investigação deve ser conjunta com a VE e os documentos necessários constam no site da Diretoria de Vigilância Sanitária (www.vigilanciasanitaria.com.br &gt; Inspeção e Monitoramento de Produtos &gt; Alimentos &gt; Doenças Transmitidas por Alimentos). Ao final da investigação, preencher o Relatório de Inspeção Sanitária em Surto de DTHA (Anexo 3) e encaminhar para VE municipal e para a Regional de Saúde.</w:t>
      </w:r>
    </w:p>
    <w:p w14:paraId="442E2069" w14:textId="77777777" w:rsidR="008035CB" w:rsidRPr="00EB32F9" w:rsidRDefault="008035CB" w:rsidP="008035CB">
      <w:pPr>
        <w:spacing w:after="0" w:line="240" w:lineRule="auto"/>
        <w:ind w:left="-567" w:right="-852" w:firstLine="567"/>
        <w:jc w:val="both"/>
        <w:rPr>
          <w:rFonts w:cstheme="minorHAnsi"/>
        </w:rPr>
      </w:pPr>
    </w:p>
    <w:p w14:paraId="11DDD6B4" w14:textId="68CC9D86" w:rsidR="008035CB" w:rsidRPr="00EB32F9" w:rsidRDefault="008035CB" w:rsidP="008035CB">
      <w:pPr>
        <w:spacing w:after="0" w:line="240" w:lineRule="auto"/>
        <w:ind w:left="-567" w:right="-852"/>
        <w:jc w:val="both"/>
        <w:rPr>
          <w:rFonts w:cstheme="minorHAnsi"/>
        </w:rPr>
      </w:pPr>
      <w:r w:rsidRPr="00EB32F9">
        <w:rPr>
          <w:rFonts w:cstheme="minorHAnsi"/>
        </w:rPr>
        <w:t>3. Diagnóstico</w:t>
      </w:r>
    </w:p>
    <w:p w14:paraId="06828386" w14:textId="77777777" w:rsidR="008035CB" w:rsidRPr="00EB32F9" w:rsidRDefault="008035CB" w:rsidP="008035CB">
      <w:pPr>
        <w:spacing w:after="0" w:line="240" w:lineRule="auto"/>
        <w:ind w:left="-567" w:right="-852" w:firstLine="567"/>
        <w:jc w:val="both"/>
        <w:rPr>
          <w:rFonts w:cstheme="minorHAnsi"/>
        </w:rPr>
      </w:pPr>
      <w:r w:rsidRPr="00EB32F9">
        <w:rPr>
          <w:rFonts w:cstheme="minorHAnsi"/>
        </w:rPr>
        <w:t>O diagnóstico das causas etiológicas da DDA é laboratorial, por meio de exames parasitológicos, cultura de bactérias e pesquisa de vírus, em amostras de fezes. O diagnóstico laboratorial é importante para que seja conhecido o padrão dos agentes etiológicos circulantes sendo imprescindível, na vigência de surtos para orientar as medidas de prevenção e controle. As amostras devem ser coletadas antes da administração de antibióticos. Deve-se evitar coletar amostras fecais contidas nas roupas dos pacientes, na superfície de camas ou no chão.</w:t>
      </w:r>
    </w:p>
    <w:p w14:paraId="57FC4DC5" w14:textId="77777777" w:rsidR="008035CB" w:rsidRPr="00EB32F9" w:rsidRDefault="008035CB" w:rsidP="008035CB">
      <w:pPr>
        <w:spacing w:after="0" w:line="240" w:lineRule="auto"/>
        <w:ind w:left="-567" w:right="-852"/>
        <w:jc w:val="both"/>
        <w:rPr>
          <w:rFonts w:cstheme="minorHAnsi"/>
        </w:rPr>
      </w:pPr>
      <w:r w:rsidRPr="00EB32F9">
        <w:rPr>
          <w:rFonts w:cstheme="minorHAnsi"/>
        </w:rPr>
        <w:tab/>
        <w:t>Na coleta de Amostra Biológica para vírus utilizar o Manual de Orientação para Coleta, Acondicionamento e Transporte de Amostras Biológicas do Lacen. As amostras de fezes líquidas in natura devem ser encaminhadas em frasco coletor rígido, boca larga, sob refrigeração (excepcionalmente poderá ser enviada fralda descartável fechada) ao Lacen com a requisição do GAL corretamente preenchida.</w:t>
      </w:r>
    </w:p>
    <w:p w14:paraId="05407136" w14:textId="77777777" w:rsidR="008035CB" w:rsidRPr="00EB32F9" w:rsidRDefault="008035CB" w:rsidP="008035CB">
      <w:pPr>
        <w:spacing w:after="0" w:line="240" w:lineRule="auto"/>
        <w:ind w:left="-567" w:right="-852"/>
        <w:jc w:val="both"/>
        <w:rPr>
          <w:rFonts w:cstheme="minorHAnsi"/>
        </w:rPr>
      </w:pPr>
      <w:r w:rsidRPr="00EB32F9">
        <w:rPr>
          <w:rFonts w:cstheme="minorHAnsi"/>
        </w:rPr>
        <w:t>Importante: o material deverá ser coletado do 1º ao 4º dia do início dos sintomas, e enviado sob refrigeração ao Lacen em até 48h após a coleta.</w:t>
      </w:r>
    </w:p>
    <w:p w14:paraId="4FA9F4A9" w14:textId="1443D4A6" w:rsidR="008035CB" w:rsidRPr="00EB32F9" w:rsidRDefault="008035CB" w:rsidP="008035CB">
      <w:pPr>
        <w:spacing w:after="0" w:line="240" w:lineRule="auto"/>
        <w:ind w:left="-567" w:right="-852"/>
        <w:jc w:val="both"/>
        <w:rPr>
          <w:rFonts w:cstheme="minorHAnsi"/>
        </w:rPr>
      </w:pPr>
    </w:p>
    <w:p w14:paraId="5C3DB42D" w14:textId="436032DB" w:rsidR="00456BC9" w:rsidRPr="00EB32F9" w:rsidRDefault="00456BC9" w:rsidP="00456BC9">
      <w:pPr>
        <w:tabs>
          <w:tab w:val="left" w:pos="142"/>
        </w:tabs>
        <w:spacing w:after="0" w:line="240" w:lineRule="auto"/>
        <w:ind w:left="-567" w:right="-852"/>
        <w:jc w:val="both"/>
        <w:rPr>
          <w:rFonts w:cstheme="minorHAnsi"/>
        </w:rPr>
      </w:pPr>
      <w:r w:rsidRPr="00EB32F9">
        <w:rPr>
          <w:rFonts w:cstheme="minorHAnsi"/>
          <w:b/>
          <w:bCs/>
        </w:rPr>
        <w:t>TEXTO</w:t>
      </w:r>
      <w:r w:rsidR="003B4FFC" w:rsidRPr="00EB32F9">
        <w:rPr>
          <w:rFonts w:cstheme="minorHAnsi"/>
          <w:b/>
          <w:bCs/>
        </w:rPr>
        <w:t xml:space="preserve"> 1</w:t>
      </w:r>
      <w:r w:rsidR="003B4FFC" w:rsidRPr="00EB32F9">
        <w:rPr>
          <w:rFonts w:cstheme="minorHAnsi"/>
        </w:rPr>
        <w:t xml:space="preserve">- </w:t>
      </w:r>
      <w:r w:rsidRPr="00EB32F9">
        <w:rPr>
          <w:rFonts w:cstheme="minorHAnsi"/>
        </w:rPr>
        <w:t>A disponibilidade de água de boa qualidade e em quantidade suficiente nos domicílios é a medida mais eficaz no controle das diarreias. Mas nem todas as comunidades recebem água tratada, algumas utilizam água proveniente de barreiros, cisternas, açudes, poços, etc. Garantir a oferta de água de boa qualidade e em quantidade suficiente deve ser uma preocupação das autoridades e uma reivindicação da população.</w:t>
      </w:r>
    </w:p>
    <w:p w14:paraId="4635FD03" w14:textId="77777777" w:rsidR="00456BC9" w:rsidRPr="00EB32F9" w:rsidRDefault="00456BC9" w:rsidP="00456BC9">
      <w:pPr>
        <w:tabs>
          <w:tab w:val="left" w:pos="142"/>
        </w:tabs>
        <w:spacing w:after="0" w:line="240" w:lineRule="auto"/>
        <w:ind w:left="-567" w:right="-852"/>
        <w:jc w:val="both"/>
        <w:rPr>
          <w:rFonts w:cstheme="minorHAnsi"/>
        </w:rPr>
      </w:pPr>
      <w:r w:rsidRPr="00EB32F9">
        <w:rPr>
          <w:rFonts w:cstheme="minorHAnsi"/>
        </w:rPr>
        <w:t>A água pode ser facilmente contaminada pelos agentes etiológicos causadores das diarreias. Por isso, as fontes e os reservatórios de água devem ser protegidos, evitando o seu contato com dejetos e lixo. De acordo com os tipos de mananciais, estes devem ser delimitados com cerca de proteção, de modo a impedir a entrada de animais e/ou pessoas que possam contaminá-los. Também devem ser protegidos de outros agentes poluentes, como os agrotóxicos e suas embalagens. Devem ser eliminados/controlados todos os possíveis focos de contaminação.</w:t>
      </w:r>
    </w:p>
    <w:p w14:paraId="5F4F9DBE" w14:textId="0C63774A" w:rsidR="00456BC9" w:rsidRPr="00EB32F9" w:rsidRDefault="00456BC9" w:rsidP="00C0180E">
      <w:pPr>
        <w:spacing w:after="0" w:line="240" w:lineRule="auto"/>
        <w:ind w:left="-567" w:right="-852"/>
        <w:jc w:val="both"/>
        <w:rPr>
          <w:rFonts w:cstheme="minorHAnsi"/>
        </w:rPr>
      </w:pPr>
    </w:p>
    <w:p w14:paraId="5E46CEA7" w14:textId="5C8BC942" w:rsidR="00792AA4" w:rsidRPr="00EB32F9" w:rsidRDefault="002A7F9C" w:rsidP="000831F5">
      <w:pPr>
        <w:spacing w:after="0" w:line="240" w:lineRule="auto"/>
        <w:ind w:left="-567" w:right="-852"/>
        <w:jc w:val="both"/>
        <w:rPr>
          <w:rFonts w:cstheme="minorHAnsi"/>
        </w:rPr>
      </w:pPr>
      <w:r w:rsidRPr="00EB32F9">
        <w:rPr>
          <w:rFonts w:cstheme="minorHAnsi"/>
          <w:b/>
          <w:bCs/>
        </w:rPr>
        <w:t>TEXTO 2</w:t>
      </w:r>
      <w:r w:rsidR="003B4FFC" w:rsidRPr="00EB32F9">
        <w:rPr>
          <w:rFonts w:cstheme="minorHAnsi"/>
        </w:rPr>
        <w:t>-</w:t>
      </w:r>
      <w:r w:rsidRPr="00EB32F9">
        <w:rPr>
          <w:rFonts w:cstheme="minorHAnsi"/>
        </w:rPr>
        <w:t xml:space="preserve"> O leite materno, pelas suas qualidades bioquímicas e nutritivas, é o melhor alimento para a criança, principalmente no seu primeiro ano de vida. O aleitamento materno exclusivo é fator de proteção para as doenças diarreicas, pois além do valor nutricional em si, o leite materno é isento de impurezas e fornece elementos de defesa contra doenças infecciosas, notadamente pelo teor de Imunoglobulina – IgA, que, ao atapetar o epitélio intestinal com anticorpos específicos, impede a aderência de </w:t>
      </w:r>
      <w:proofErr w:type="spellStart"/>
      <w:r w:rsidRPr="00EB32F9">
        <w:rPr>
          <w:rFonts w:cstheme="minorHAnsi"/>
        </w:rPr>
        <w:t>enteropatógenos</w:t>
      </w:r>
      <w:proofErr w:type="spellEnd"/>
      <w:r w:rsidRPr="00EB32F9">
        <w:rPr>
          <w:rFonts w:cstheme="minorHAnsi"/>
        </w:rPr>
        <w:t xml:space="preserve">, dificultando a instalação da doença. Sabe-se que a chance de haver contaminação no preparo das mamadeiras é considerável e que o aleitamento materno exclusivo poderia, no mínimo, reduzir a exposição dessas crianças aos </w:t>
      </w:r>
      <w:proofErr w:type="spellStart"/>
      <w:r w:rsidRPr="00EB32F9">
        <w:rPr>
          <w:rFonts w:cstheme="minorHAnsi"/>
        </w:rPr>
        <w:t>enteropatógenos</w:t>
      </w:r>
      <w:proofErr w:type="spellEnd"/>
      <w:r w:rsidRPr="00EB32F9">
        <w:rPr>
          <w:rFonts w:cstheme="minorHAnsi"/>
        </w:rPr>
        <w:t xml:space="preserve"> pelas mamadeiras e pelos alimentos contaminados.</w:t>
      </w:r>
    </w:p>
    <w:p w14:paraId="0BE8E75B" w14:textId="77777777" w:rsidR="002A7F9C" w:rsidRPr="00EB32F9" w:rsidRDefault="002A7F9C" w:rsidP="000831F5">
      <w:pPr>
        <w:spacing w:after="0" w:line="240" w:lineRule="auto"/>
        <w:ind w:left="-567" w:right="-852"/>
        <w:jc w:val="both"/>
        <w:rPr>
          <w:rFonts w:cstheme="minorHAnsi"/>
        </w:rPr>
      </w:pPr>
    </w:p>
    <w:p w14:paraId="74DD1BDD" w14:textId="6182D80E" w:rsidR="00D20156" w:rsidRPr="00EB32F9" w:rsidRDefault="00D20156" w:rsidP="00D20156">
      <w:pPr>
        <w:spacing w:after="0" w:line="240" w:lineRule="auto"/>
        <w:ind w:left="-567" w:right="-852"/>
        <w:jc w:val="both"/>
        <w:rPr>
          <w:rFonts w:cstheme="minorHAnsi"/>
        </w:rPr>
      </w:pPr>
    </w:p>
    <w:p w14:paraId="165495BA" w14:textId="16BEFFF1" w:rsidR="00D20156" w:rsidRPr="00EB32F9" w:rsidRDefault="00792AA4" w:rsidP="003B4FFC">
      <w:pPr>
        <w:spacing w:after="0" w:line="240" w:lineRule="auto"/>
        <w:ind w:left="-567" w:right="-852"/>
        <w:jc w:val="center"/>
        <w:rPr>
          <w:rFonts w:cstheme="minorHAnsi"/>
          <w:b/>
          <w:bCs/>
        </w:rPr>
      </w:pPr>
      <w:bookmarkStart w:id="4" w:name="_Hlk74125476"/>
      <w:r w:rsidRPr="00EB32F9">
        <w:rPr>
          <w:rFonts w:cstheme="minorHAnsi"/>
          <w:b/>
          <w:bCs/>
        </w:rPr>
        <w:t>MDDA-</w:t>
      </w:r>
      <w:r w:rsidR="00456BC9" w:rsidRPr="00EB32F9">
        <w:rPr>
          <w:rFonts w:cstheme="minorHAnsi"/>
          <w:b/>
          <w:bCs/>
        </w:rPr>
        <w:t xml:space="preserve"> Monitorização das doenças diarreicas agudas</w:t>
      </w:r>
    </w:p>
    <w:bookmarkEnd w:id="4"/>
    <w:p w14:paraId="330A732B" w14:textId="2F37E408" w:rsidR="00175D17" w:rsidRPr="00EB32F9" w:rsidRDefault="000D1E7C" w:rsidP="00175D17">
      <w:pPr>
        <w:spacing w:after="0" w:line="240" w:lineRule="auto"/>
        <w:ind w:left="-567" w:right="-852"/>
        <w:jc w:val="both"/>
        <w:rPr>
          <w:rFonts w:cstheme="minorHAnsi"/>
        </w:rPr>
      </w:pPr>
      <w:r w:rsidRPr="00EB32F9">
        <w:rPr>
          <w:rFonts w:cstheme="minorHAnsi"/>
        </w:rPr>
        <w:t xml:space="preserve">A monitorização das doenças diarreicas agudas deve ser entendida como um processo de elaboração e análise de mensurações rotineiras capazes de detectar alterações no ambiente ou na saúde da população e de expressar mudanças na tendência das diarreias. Consiste na coleta, na consolidação e na análise de dados mínimos: idade, procedência, data do início dos sintomas e do atendimento e plano de tratamento dos casos que buscam atendimento na unidade de saúde, visando a recomendar medidas de prevenção, controle e avaliação do impacto das ações desenvolvidas. </w:t>
      </w:r>
      <w:r w:rsidR="00175D17" w:rsidRPr="00EB32F9">
        <w:rPr>
          <w:rFonts w:cstheme="minorHAnsi"/>
        </w:rPr>
        <w:t>A Unidade de saúde manda semanalmente o ANEXO 3- Planilha de Casos de Diarreia preenchimento para a central de vigilância epidemiológica do município.</w:t>
      </w:r>
    </w:p>
    <w:p w14:paraId="0FB9CB7B" w14:textId="27E599E5" w:rsidR="000D1E7C" w:rsidRPr="00EB32F9" w:rsidRDefault="00506EE8" w:rsidP="003B4FFC">
      <w:pPr>
        <w:spacing w:after="0" w:line="240" w:lineRule="auto"/>
        <w:ind w:left="-567" w:right="-852" w:firstLine="567"/>
        <w:jc w:val="both"/>
        <w:rPr>
          <w:rFonts w:cstheme="minorHAnsi"/>
        </w:rPr>
      </w:pPr>
      <w:r w:rsidRPr="00EB32F9">
        <w:rPr>
          <w:rFonts w:cstheme="minorHAnsi"/>
        </w:rPr>
        <w:t xml:space="preserve">A diarreia aguda é uma doença que se caracteriza pela diminuição da consistência das fezes e/ou aumento no número de evacuações. Com frequência é acompanhada de vômitos, febre e dor abdominal. Algumas vezes pode apresentar muco e sangue – disenteria. Em geral é autolimitada, tende a curar espontaneamente, com duração de até 14 dias, e sua gravidade depende da presença e intensidade da desidratação. Os casos com duração superior a 14 dias são considerados casos persistentes. Acima de três evacuações diarreicas/ dia pode </w:t>
      </w:r>
      <w:r w:rsidRPr="00EB32F9">
        <w:rPr>
          <w:rFonts w:cstheme="minorHAnsi"/>
        </w:rPr>
        <w:lastRenderedPageBreak/>
        <w:t>ser considerada diarreia, porém deve-se levar em consideração o hábito intestinal de cada pessoa. É importante que seja avaliada a quantidade de líquidos perdidos. O paciente com diarreia pode procurar os serviços de saúde várias vezes. Para fins de monitorização; será considerado novo caso quando, após a normalização da função intestinal por um período de 48 horas, o paciente apresentar diarreia novamente.</w:t>
      </w:r>
    </w:p>
    <w:p w14:paraId="2E4D9E64" w14:textId="26D03E3B" w:rsidR="00506EE8" w:rsidRPr="00EB32F9" w:rsidRDefault="00506EE8" w:rsidP="003B4FFC">
      <w:pPr>
        <w:spacing w:after="0" w:line="240" w:lineRule="auto"/>
        <w:ind w:left="-567" w:right="-852" w:firstLine="567"/>
        <w:jc w:val="both"/>
        <w:rPr>
          <w:rFonts w:cstheme="minorHAnsi"/>
        </w:rPr>
      </w:pPr>
      <w:r w:rsidRPr="00EB32F9">
        <w:rPr>
          <w:rFonts w:cstheme="minorHAnsi"/>
        </w:rPr>
        <w:t>A transmissão da diarreia se dá principalmente por meio de água e alimentos contaminados pelas mãos de doentes ou pessoas que, mesmo sem apresentarem a doença, estão eliminando micro-organismos nas fezes e não têm bons hábitos de higiene. Os vetores também podem contaminar os alimentos. Além disso, objetos contaminados levados à boca, como chupetas, mamadeiras, brinquedos e outros, podem causar doenças diarreicas. Vale salientar que o homem, os animais e os alimentos são reservatórios de agentes etiológicos que causam diarreia, ocorrendo a sua transmissão pela via fecal-oral de forma direta (mãos contaminadas) ou indireta (alimentos, água e utensílios contaminados).</w:t>
      </w:r>
    </w:p>
    <w:p w14:paraId="1DF03720" w14:textId="26809456" w:rsidR="00506EE8" w:rsidRPr="00EB32F9" w:rsidRDefault="00506EE8" w:rsidP="003B4FFC">
      <w:pPr>
        <w:spacing w:after="0" w:line="240" w:lineRule="auto"/>
        <w:ind w:left="-567" w:right="-852" w:firstLine="567"/>
        <w:jc w:val="both"/>
        <w:rPr>
          <w:rFonts w:cstheme="minorHAnsi"/>
        </w:rPr>
      </w:pPr>
      <w:r w:rsidRPr="00EB32F9">
        <w:rPr>
          <w:rFonts w:cstheme="minorHAnsi"/>
        </w:rPr>
        <w:t>As diarreias, quanto à sua etiologia, podem ser classificadas como infecciosas e não infecciosas. Entre as infecciosas, os agentes patogênicos são: vírus, bactérias, parasitas e fungos. Algumas bactérias e vírus atingem mais as crianças principalmente as menores de 1 ano que são mais predispostas pelo desmame precoce e a desnutrição. Já outras bactérias atingem mais os adultos. Os parasitas (ameba, giárdia, etc.) e os helmintos (</w:t>
      </w:r>
      <w:proofErr w:type="spellStart"/>
      <w:r w:rsidRPr="00EB32F9">
        <w:rPr>
          <w:rFonts w:cstheme="minorHAnsi"/>
        </w:rPr>
        <w:t>ascáris</w:t>
      </w:r>
      <w:proofErr w:type="spellEnd"/>
      <w:r w:rsidRPr="00EB32F9">
        <w:rPr>
          <w:rFonts w:cstheme="minorHAnsi"/>
        </w:rPr>
        <w:t xml:space="preserve">, </w:t>
      </w:r>
      <w:proofErr w:type="spellStart"/>
      <w:r w:rsidRPr="00EB32F9">
        <w:rPr>
          <w:rFonts w:cstheme="minorHAnsi"/>
        </w:rPr>
        <w:t>ancilostomídeos</w:t>
      </w:r>
      <w:proofErr w:type="spellEnd"/>
      <w:r w:rsidRPr="00EB32F9">
        <w:rPr>
          <w:rFonts w:cstheme="minorHAnsi"/>
        </w:rPr>
        <w:t>, etc.) atingem uma grande parcela da população. Está demonstrado que quanto mais baixos são os níveis de saneamento, higiene, educação e informação de uma população, maior é a importância das bactérias na etiologia das diarreias, em comparação com os vírus. Além disso, as diarreias causadas por bactérias têm um aumento notável durante os meses quentes do ano, nas regiões onde as mudanças de estação são marcantes. Em contraste, os vírus geralmente manifestam-se de forma mais intensa na estação mais fria do ano. Outras causas de diarreia são as substâncias tóxicas presentes nos alimentos (toxinas – substâncias nocivas à saúde, produzidas por plantas ou micróbios) ou ainda substâncias químicas (praguicidas, aditivos alimentares, antibióticos, hormônios, etc.).</w:t>
      </w:r>
    </w:p>
    <w:p w14:paraId="2DC76163" w14:textId="550BF821" w:rsidR="00F352ED" w:rsidRPr="00EB32F9" w:rsidRDefault="002E01F8" w:rsidP="00D20156">
      <w:pPr>
        <w:spacing w:after="0" w:line="240" w:lineRule="auto"/>
        <w:ind w:left="-567" w:right="-852"/>
        <w:jc w:val="both"/>
        <w:rPr>
          <w:rFonts w:cstheme="minorHAnsi"/>
        </w:rPr>
      </w:pPr>
      <w:hyperlink r:id="rId5" w:history="1">
        <w:r w:rsidR="002A7F9C" w:rsidRPr="00EB32F9">
          <w:rPr>
            <w:rStyle w:val="Hyperlink"/>
            <w:rFonts w:cstheme="minorHAnsi"/>
            <w:color w:val="auto"/>
          </w:rPr>
          <w:t>http://bvsms.saude.gov.br/bvs/publicacoes/capacitacao_monitoramento_diarreicas_treinando.pdf</w:t>
        </w:r>
      </w:hyperlink>
    </w:p>
    <w:p w14:paraId="02C4EC19" w14:textId="364F3738" w:rsidR="002A7F9C" w:rsidRPr="00EB32F9" w:rsidRDefault="002A7F9C" w:rsidP="00D20156">
      <w:pPr>
        <w:spacing w:after="0" w:line="240" w:lineRule="auto"/>
        <w:ind w:left="-567" w:right="-852"/>
        <w:jc w:val="both"/>
        <w:rPr>
          <w:rFonts w:cstheme="minorHAnsi"/>
        </w:rPr>
      </w:pPr>
    </w:p>
    <w:p w14:paraId="1806385C" w14:textId="52D79E49" w:rsidR="003B4FFC" w:rsidRPr="00EB32F9" w:rsidRDefault="008C5FF1" w:rsidP="008C5FF1">
      <w:pPr>
        <w:spacing w:after="0" w:line="240" w:lineRule="auto"/>
        <w:ind w:left="-567" w:right="-852"/>
        <w:jc w:val="center"/>
        <w:rPr>
          <w:rFonts w:cstheme="minorHAnsi"/>
          <w:b/>
          <w:bCs/>
        </w:rPr>
      </w:pPr>
      <w:r w:rsidRPr="00EB32F9">
        <w:rPr>
          <w:rFonts w:cstheme="minorHAnsi"/>
          <w:b/>
          <w:bCs/>
        </w:rPr>
        <w:t>Manejo adequado das doenças diarreicas agudas</w:t>
      </w:r>
    </w:p>
    <w:p w14:paraId="34E03514" w14:textId="77777777" w:rsidR="009F5C64" w:rsidRPr="00EB32F9" w:rsidRDefault="009F5C64" w:rsidP="008C5FF1">
      <w:pPr>
        <w:spacing w:after="0" w:line="240" w:lineRule="auto"/>
        <w:ind w:left="-567" w:right="-852"/>
        <w:jc w:val="center"/>
        <w:rPr>
          <w:rFonts w:cstheme="minorHAnsi"/>
          <w:b/>
          <w:bCs/>
        </w:rPr>
      </w:pPr>
    </w:p>
    <w:p w14:paraId="7BA910EC" w14:textId="0B405B13" w:rsidR="008C5FF1" w:rsidRPr="00EB32F9" w:rsidRDefault="008C5FF1" w:rsidP="008C5FF1">
      <w:pPr>
        <w:spacing w:after="0" w:line="240" w:lineRule="auto"/>
        <w:ind w:left="-567" w:right="-852"/>
        <w:jc w:val="both"/>
        <w:rPr>
          <w:rFonts w:cstheme="minorHAnsi"/>
        </w:rPr>
      </w:pPr>
      <w:r w:rsidRPr="00EB32F9">
        <w:rPr>
          <w:rFonts w:cstheme="minorHAnsi"/>
          <w:b/>
          <w:bCs/>
        </w:rPr>
        <w:t>TEXTO 3</w:t>
      </w:r>
      <w:r w:rsidRPr="00EB32F9">
        <w:rPr>
          <w:rFonts w:cstheme="minorHAnsi"/>
        </w:rPr>
        <w:t>- O adequado suporte de água, açúcar e sal é decisivo para reduzir a mortalidade por desidratação causada pela diarreia. Por esse motivo, o uso dos Sais de Reidratação Oral (SRO) é a principal estratégia recomendada para o tratamento dos casos de desidratação. O seu uso é fundamentado por meio do conhecimento de como os agentes etiológicos ou as suas toxinas afetam a parede do intestino, provocando maior perda de água e eletrólitos importantes para o funcionamento do organismo. Desde 1971, a Organização Mundial da Saúde (OMS) e o Fundo das Nações Unidas para a Infância (Unicef) recomendam a utilização de uma fórmula para a preparação da solução de sais de reidratação oral, que é eficaz no tratamento da desidratação por diarreia de qualquer etiologia em qualquer grupo etário. Os medicamentos comumente utilizados em diarreia aguda, além de desnecessários, estão contraindicados, como pode ser constatado no quadro a seguir.</w:t>
      </w:r>
    </w:p>
    <w:p w14:paraId="3EF2AF62" w14:textId="7748E0AF" w:rsidR="008C5FF1" w:rsidRPr="00EB32F9" w:rsidRDefault="008C5FF1" w:rsidP="008C5FF1">
      <w:pPr>
        <w:spacing w:after="0" w:line="240" w:lineRule="auto"/>
        <w:ind w:left="-567" w:right="-852"/>
        <w:jc w:val="both"/>
        <w:rPr>
          <w:rFonts w:cstheme="minorHAnsi"/>
          <w:b/>
          <w:bCs/>
        </w:rPr>
      </w:pPr>
      <w:r w:rsidRPr="00EB32F9">
        <w:rPr>
          <w:rFonts w:cstheme="minorHAnsi"/>
        </w:rPr>
        <w:t>O uso de antimicrobianos (antibióticos e quimioterápicos) fica reservado aos casos de diarreia que apresentam sangue nas fezes (disenteria), e que, após a reidratação, mantém comprometido o estado geral; e aos casos graves de cólera, sempre sob prescrição médica.</w:t>
      </w:r>
    </w:p>
    <w:p w14:paraId="3EDE87A5" w14:textId="05152FB4" w:rsidR="002A7F9C" w:rsidRPr="00EB32F9" w:rsidRDefault="002A7F9C" w:rsidP="008C5FF1">
      <w:pPr>
        <w:spacing w:after="0" w:line="240" w:lineRule="auto"/>
        <w:ind w:left="-567" w:right="-852" w:firstLine="709"/>
        <w:jc w:val="both"/>
        <w:rPr>
          <w:rFonts w:cstheme="minorHAnsi"/>
        </w:rPr>
      </w:pPr>
      <w:r w:rsidRPr="00EB32F9">
        <w:rPr>
          <w:rFonts w:cstheme="minorHAnsi"/>
        </w:rPr>
        <w:t>O manejo adequado é a principal estratégia para reduzir a mortalidade por</w:t>
      </w:r>
      <w:r w:rsidR="008C5FF1" w:rsidRPr="00EB32F9">
        <w:rPr>
          <w:rFonts w:cstheme="minorHAnsi"/>
        </w:rPr>
        <w:t xml:space="preserve"> </w:t>
      </w:r>
      <w:r w:rsidRPr="00EB32F9">
        <w:rPr>
          <w:rFonts w:cstheme="minorHAnsi"/>
        </w:rPr>
        <w:t>doenças diarreicas agudas e se compõe basicamente de:</w:t>
      </w:r>
    </w:p>
    <w:p w14:paraId="7A06A512" w14:textId="77777777"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prevenção da desidratação;</w:t>
      </w:r>
    </w:p>
    <w:p w14:paraId="6BF7A576" w14:textId="77777777"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tratamento da desidratação;</w:t>
      </w:r>
    </w:p>
    <w:p w14:paraId="16939EE0" w14:textId="77777777"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manutenção da alimentação durante e após o episódio diarreico;</w:t>
      </w:r>
    </w:p>
    <w:p w14:paraId="3882765A" w14:textId="6FF4C6A0"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uso racional de medicamentos.</w:t>
      </w:r>
    </w:p>
    <w:p w14:paraId="4EF2038D" w14:textId="0ED914CC" w:rsidR="002A7F9C" w:rsidRPr="00EB32F9" w:rsidRDefault="002A7F9C" w:rsidP="002A7F9C">
      <w:pPr>
        <w:spacing w:after="0" w:line="240" w:lineRule="auto"/>
        <w:ind w:left="-567" w:right="-852"/>
        <w:jc w:val="both"/>
        <w:rPr>
          <w:rFonts w:cstheme="minorHAnsi"/>
        </w:rPr>
      </w:pPr>
      <w:r w:rsidRPr="00EB32F9">
        <w:rPr>
          <w:rFonts w:cstheme="minorHAnsi"/>
        </w:rPr>
        <w:t>Na avaliação de um caso de diarreia, deve ser dada ênfase ao estado de hidratação do paciente para classificar a desidratação e escolher o plano de tratamento preconizado.</w:t>
      </w:r>
      <w:r w:rsidR="008C5FF1" w:rsidRPr="00EB32F9">
        <w:rPr>
          <w:rFonts w:cstheme="minorHAnsi"/>
        </w:rPr>
        <w:t xml:space="preserve"> </w:t>
      </w:r>
      <w:r w:rsidRPr="00EB32F9">
        <w:rPr>
          <w:rFonts w:cstheme="minorHAnsi"/>
        </w:rPr>
        <w:t>Há três tipos de classificação possíveis para a desidratação com seus respectivos planos de tratamento para o paciente com diarreia:</w:t>
      </w:r>
    </w:p>
    <w:p w14:paraId="357F144F" w14:textId="77777777"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Sem desidratação – Plano A.</w:t>
      </w:r>
    </w:p>
    <w:p w14:paraId="673AFD9A" w14:textId="77777777"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Desidratação – Plano B.</w:t>
      </w:r>
    </w:p>
    <w:p w14:paraId="5D1FF428" w14:textId="77777777" w:rsidR="002A7F9C" w:rsidRPr="00EB32F9" w:rsidRDefault="002A7F9C" w:rsidP="002A7F9C">
      <w:pPr>
        <w:spacing w:after="0" w:line="240" w:lineRule="auto"/>
        <w:ind w:left="-567" w:right="-852"/>
        <w:jc w:val="both"/>
        <w:rPr>
          <w:rFonts w:cstheme="minorHAnsi"/>
        </w:rPr>
      </w:pPr>
      <w:r w:rsidRPr="00EB32F9">
        <w:rPr>
          <w:rFonts w:cstheme="minorHAnsi"/>
        </w:rPr>
        <w:t>•</w:t>
      </w:r>
      <w:r w:rsidRPr="00EB32F9">
        <w:rPr>
          <w:rFonts w:cstheme="minorHAnsi"/>
        </w:rPr>
        <w:tab/>
        <w:t xml:space="preserve"> Desidratação grave – Plano C.</w:t>
      </w:r>
    </w:p>
    <w:p w14:paraId="1C74D29A" w14:textId="3F9E6209" w:rsidR="002A7F9C" w:rsidRPr="00EB32F9" w:rsidRDefault="002A7F9C" w:rsidP="002A7F9C">
      <w:pPr>
        <w:spacing w:after="0" w:line="240" w:lineRule="auto"/>
        <w:ind w:left="-567" w:right="-852"/>
        <w:jc w:val="both"/>
        <w:rPr>
          <w:rFonts w:cstheme="minorHAnsi"/>
        </w:rPr>
      </w:pPr>
      <w:r w:rsidRPr="00EB32F9">
        <w:rPr>
          <w:rFonts w:cstheme="minorHAnsi"/>
        </w:rPr>
        <w:t>O paciente deve ser pesado quando possível (se for criança, deve estar descalça e despida). O exame físico deverá ser completo e, em caso de criança, a</w:t>
      </w:r>
      <w:r w:rsidR="008C5FF1" w:rsidRPr="00EB32F9">
        <w:rPr>
          <w:rFonts w:cstheme="minorHAnsi"/>
        </w:rPr>
        <w:t xml:space="preserve"> </w:t>
      </w:r>
      <w:r w:rsidRPr="00EB32F9">
        <w:rPr>
          <w:rFonts w:cstheme="minorHAnsi"/>
        </w:rPr>
        <w:t>mãe será orientada a reconhecer os sinais de desidratação.</w:t>
      </w:r>
    </w:p>
    <w:p w14:paraId="58FA137E" w14:textId="158F04D5" w:rsidR="002A7F9C" w:rsidRDefault="002A7F9C" w:rsidP="002A7F9C">
      <w:pPr>
        <w:spacing w:after="0" w:line="240" w:lineRule="auto"/>
        <w:ind w:left="-567" w:right="-852"/>
        <w:jc w:val="both"/>
        <w:rPr>
          <w:color w:val="FF0000"/>
        </w:rPr>
      </w:pPr>
      <w:r>
        <w:rPr>
          <w:noProof/>
          <w:color w:val="FF0000"/>
        </w:rPr>
        <w:lastRenderedPageBreak/>
        <w:drawing>
          <wp:inline distT="0" distB="0" distL="0" distR="0" wp14:anchorId="36CDCA2D" wp14:editId="61E9FB0F">
            <wp:extent cx="5398770" cy="5351145"/>
            <wp:effectExtent l="0" t="0" r="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770" cy="5351145"/>
                    </a:xfrm>
                    <a:prstGeom prst="rect">
                      <a:avLst/>
                    </a:prstGeom>
                    <a:noFill/>
                    <a:ln>
                      <a:noFill/>
                    </a:ln>
                  </pic:spPr>
                </pic:pic>
              </a:graphicData>
            </a:graphic>
          </wp:inline>
        </w:drawing>
      </w:r>
    </w:p>
    <w:p w14:paraId="0FF1DED1" w14:textId="77777777" w:rsidR="00EB32F9" w:rsidRDefault="00EB32F9" w:rsidP="008C5FF1">
      <w:pPr>
        <w:spacing w:after="0" w:line="240" w:lineRule="auto"/>
        <w:ind w:left="-567" w:right="-852"/>
        <w:jc w:val="center"/>
        <w:rPr>
          <w:b/>
          <w:bCs/>
          <w:color w:val="FF0000"/>
        </w:rPr>
      </w:pPr>
    </w:p>
    <w:p w14:paraId="526997A9" w14:textId="0C2559C7" w:rsidR="00376006" w:rsidRDefault="00376006" w:rsidP="008C5FF1">
      <w:pPr>
        <w:spacing w:after="0" w:line="240" w:lineRule="auto"/>
        <w:ind w:left="-567" w:right="-852"/>
        <w:jc w:val="center"/>
        <w:rPr>
          <w:b/>
          <w:bCs/>
          <w:color w:val="FF0000"/>
        </w:rPr>
      </w:pPr>
      <w:r w:rsidRPr="008C5FF1">
        <w:rPr>
          <w:b/>
          <w:bCs/>
          <w:color w:val="FF0000"/>
        </w:rPr>
        <w:t>Planos de Tratamento</w:t>
      </w:r>
    </w:p>
    <w:p w14:paraId="34A72AE5" w14:textId="77777777" w:rsidR="00EB32F9" w:rsidRPr="008C5FF1" w:rsidRDefault="00EB32F9" w:rsidP="008C5FF1">
      <w:pPr>
        <w:spacing w:after="0" w:line="240" w:lineRule="auto"/>
        <w:ind w:left="-567" w:right="-852"/>
        <w:jc w:val="center"/>
        <w:rPr>
          <w:b/>
          <w:bCs/>
          <w:color w:val="FF0000"/>
        </w:rPr>
      </w:pPr>
    </w:p>
    <w:p w14:paraId="2AB925AA" w14:textId="072AC342" w:rsidR="00376006" w:rsidRPr="009F5C64" w:rsidRDefault="00376006" w:rsidP="00376006">
      <w:pPr>
        <w:spacing w:after="0" w:line="240" w:lineRule="auto"/>
        <w:ind w:left="-567" w:right="-852"/>
        <w:jc w:val="both"/>
        <w:rPr>
          <w:color w:val="000000" w:themeColor="text1"/>
        </w:rPr>
      </w:pPr>
      <w:r w:rsidRPr="009F5C64">
        <w:rPr>
          <w:color w:val="000000" w:themeColor="text1"/>
        </w:rPr>
        <w:t>Conforme observado no quadro 1, a avaliação do estado de hidratação do</w:t>
      </w:r>
      <w:r w:rsidR="008C5FF1" w:rsidRPr="009F5C64">
        <w:rPr>
          <w:color w:val="000000" w:themeColor="text1"/>
        </w:rPr>
        <w:t xml:space="preserve"> </w:t>
      </w:r>
      <w:r w:rsidRPr="009F5C64">
        <w:rPr>
          <w:color w:val="000000" w:themeColor="text1"/>
        </w:rPr>
        <w:t>paciente orientará a escolha entre os três planos de tratamento preconizados:</w:t>
      </w:r>
    </w:p>
    <w:p w14:paraId="3415D2C2" w14:textId="6418C92B" w:rsidR="00376006" w:rsidRDefault="00376006" w:rsidP="00376006">
      <w:pPr>
        <w:spacing w:after="0" w:line="240" w:lineRule="auto"/>
        <w:ind w:left="-567" w:right="-852"/>
        <w:jc w:val="both"/>
      </w:pPr>
      <w:r w:rsidRPr="008C5FF1">
        <w:rPr>
          <w:b/>
          <w:bCs/>
        </w:rPr>
        <w:t>Plano A</w:t>
      </w:r>
      <w:r>
        <w:t>:</w:t>
      </w:r>
      <w:r w:rsidR="00E75B1B">
        <w:t xml:space="preserve"> </w:t>
      </w:r>
      <w:r>
        <w:t>destina-se a pacientes com diarreia, sem sinais de desidratação. A grande maioria das diarreias não apresenta desidratação. Para prevenção da desidratação bastará, após o exame clínico do paciente, orientar sobre a evolução natural da doença, o risco de complicações e condutas no domicílio. Orientar o paciente ou responsável sobre a importância do aumento da ingestão de líquidos e da manutenção da alimentação. Ensinar o paciente ou responsável a reconhecer os sinais de desidratação e recomendar que, em caso de piora, inicie a administração de SRO e procure novamente o serviço de saúde.</w:t>
      </w:r>
    </w:p>
    <w:p w14:paraId="5D37C4C2" w14:textId="25EA5495" w:rsidR="00376006" w:rsidRDefault="00376006" w:rsidP="00376006">
      <w:pPr>
        <w:spacing w:after="0" w:line="240" w:lineRule="auto"/>
        <w:ind w:left="-567" w:right="-852"/>
        <w:jc w:val="both"/>
      </w:pPr>
      <w:r w:rsidRPr="008C5FF1">
        <w:rPr>
          <w:b/>
          <w:bCs/>
        </w:rPr>
        <w:t>Plano B</w:t>
      </w:r>
      <w:r>
        <w:t xml:space="preserve">: destina-se a pacientes com diarreia e com sinais de desidratação. Todos os pacientes desidratados, mas com capacidade de ingerir líquido, devem ser tratados com solução de sais de reidratação oral. Não é necessário determinar o volume exato a ser administrado, mas recomenda-se que seja contínuo, conforme a sede do paciente, até a completa recuperação do estado de hidratação. Para crianças, a orientação é de 100ml/kg, administrados num período não superior a 4 horas. Se o paciente vomitar, pode-se reduzir o volume e aumentar a frequência das soluções. Os vômitos geralmente cessam de 2 a 3 horas após o início da reidratação. A febre causada pela desidratação geralmente cede na medida em que o paciente se reidrata. O paciente com desidratação deverá permanecer na unidade de saúde até a reidratação completa e retornar ao serviço para reavaliação, após 24 a 48 horas ou imediatamente, em caso de piora. </w:t>
      </w:r>
    </w:p>
    <w:p w14:paraId="381BD0F5" w14:textId="4443198B" w:rsidR="00376006" w:rsidRDefault="00376006" w:rsidP="00376006">
      <w:pPr>
        <w:spacing w:after="0" w:line="240" w:lineRule="auto"/>
        <w:ind w:left="-567" w:right="-852"/>
        <w:jc w:val="both"/>
        <w:rPr>
          <w:color w:val="FF0000"/>
        </w:rPr>
      </w:pPr>
      <w:r w:rsidRPr="008C5FF1">
        <w:rPr>
          <w:b/>
          <w:bCs/>
        </w:rPr>
        <w:t>Plano C:</w:t>
      </w:r>
      <w:r>
        <w:t xml:space="preserve"> destina-se a pacientes com diarreia e desidratação grave. Uso de reidratação venosa, associada a reidratação oral, logo que seja possível. Convém lembrar que inicialmente o aumento da ingestão de líquidos e do SRO poderá até aumentar a diarreia, mas não permitirá que ocorra a desidratação.</w:t>
      </w:r>
    </w:p>
    <w:p w14:paraId="27551C03" w14:textId="5716D7F8" w:rsidR="00D20156" w:rsidRDefault="00D20156" w:rsidP="00D20156">
      <w:pPr>
        <w:spacing w:after="0" w:line="240" w:lineRule="auto"/>
        <w:ind w:left="-567" w:right="-852"/>
        <w:jc w:val="both"/>
        <w:rPr>
          <w:color w:val="FF0000"/>
        </w:rPr>
      </w:pPr>
      <w:r>
        <w:rPr>
          <w:noProof/>
          <w:color w:val="FF0000"/>
        </w:rPr>
        <w:lastRenderedPageBreak/>
        <w:drawing>
          <wp:inline distT="0" distB="0" distL="0" distR="0" wp14:anchorId="229877A9" wp14:editId="36661964">
            <wp:extent cx="5873750" cy="8988724"/>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368" cy="9035580"/>
                    </a:xfrm>
                    <a:prstGeom prst="rect">
                      <a:avLst/>
                    </a:prstGeom>
                    <a:noFill/>
                    <a:ln>
                      <a:noFill/>
                    </a:ln>
                  </pic:spPr>
                </pic:pic>
              </a:graphicData>
            </a:graphic>
          </wp:inline>
        </w:drawing>
      </w:r>
    </w:p>
    <w:p w14:paraId="00623B74" w14:textId="2425C96D" w:rsidR="00D20156" w:rsidRDefault="00D20156" w:rsidP="00D20156">
      <w:pPr>
        <w:spacing w:after="0" w:line="240" w:lineRule="auto"/>
        <w:ind w:left="-567" w:right="-852"/>
        <w:jc w:val="both"/>
        <w:rPr>
          <w:color w:val="FF0000"/>
        </w:rPr>
      </w:pPr>
    </w:p>
    <w:p w14:paraId="58AD320A" w14:textId="07658280" w:rsidR="005D0425" w:rsidRDefault="005D0425" w:rsidP="00D20156">
      <w:pPr>
        <w:spacing w:after="0" w:line="240" w:lineRule="auto"/>
        <w:ind w:left="-567" w:right="-852"/>
        <w:jc w:val="both"/>
        <w:rPr>
          <w:color w:val="FF0000"/>
        </w:rPr>
      </w:pPr>
    </w:p>
    <w:p w14:paraId="5C4C2C4F" w14:textId="7ADB70C6" w:rsidR="005D0425" w:rsidRDefault="005D0425" w:rsidP="00D20156">
      <w:pPr>
        <w:spacing w:after="0" w:line="240" w:lineRule="auto"/>
        <w:ind w:left="-567" w:right="-852"/>
        <w:jc w:val="both"/>
        <w:rPr>
          <w:color w:val="FF0000"/>
        </w:rPr>
      </w:pPr>
      <w:r>
        <w:rPr>
          <w:noProof/>
          <w:color w:val="FF0000"/>
        </w:rPr>
        <w:lastRenderedPageBreak/>
        <w:drawing>
          <wp:inline distT="0" distB="0" distL="0" distR="0" wp14:anchorId="13DAF87B" wp14:editId="12950B33">
            <wp:extent cx="5900420" cy="9118121"/>
            <wp:effectExtent l="0" t="0" r="508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4" cy="9142651"/>
                    </a:xfrm>
                    <a:prstGeom prst="rect">
                      <a:avLst/>
                    </a:prstGeom>
                    <a:noFill/>
                    <a:ln>
                      <a:noFill/>
                    </a:ln>
                  </pic:spPr>
                </pic:pic>
              </a:graphicData>
            </a:graphic>
          </wp:inline>
        </w:drawing>
      </w:r>
    </w:p>
    <w:p w14:paraId="4F82668C" w14:textId="6200C526" w:rsidR="005D0425" w:rsidRDefault="005D0425" w:rsidP="00D20156">
      <w:pPr>
        <w:spacing w:after="0" w:line="240" w:lineRule="auto"/>
        <w:ind w:left="-567" w:right="-852"/>
        <w:jc w:val="both"/>
        <w:rPr>
          <w:color w:val="FF0000"/>
        </w:rPr>
      </w:pPr>
    </w:p>
    <w:p w14:paraId="52983B37" w14:textId="352482D9" w:rsidR="005D0425" w:rsidRDefault="005D0425" w:rsidP="00D20156">
      <w:pPr>
        <w:spacing w:after="0" w:line="240" w:lineRule="auto"/>
        <w:ind w:left="-567" w:right="-852"/>
        <w:jc w:val="both"/>
        <w:rPr>
          <w:color w:val="FF0000"/>
        </w:rPr>
      </w:pPr>
    </w:p>
    <w:p w14:paraId="66F02C59" w14:textId="77777777" w:rsidR="00575ABE" w:rsidRDefault="00575ABE" w:rsidP="00D20156">
      <w:pPr>
        <w:spacing w:after="0" w:line="240" w:lineRule="auto"/>
        <w:ind w:left="-567" w:right="-852"/>
        <w:jc w:val="both"/>
        <w:rPr>
          <w:color w:val="FF0000"/>
        </w:rPr>
      </w:pPr>
    </w:p>
    <w:p w14:paraId="54BC9ED0" w14:textId="74325181" w:rsidR="005D0425" w:rsidRDefault="00575ABE" w:rsidP="00D20156">
      <w:pPr>
        <w:spacing w:after="0" w:line="240" w:lineRule="auto"/>
        <w:ind w:left="-567" w:right="-852"/>
        <w:jc w:val="both"/>
        <w:rPr>
          <w:color w:val="FF0000"/>
        </w:rPr>
      </w:pPr>
      <w:r>
        <w:rPr>
          <w:noProof/>
          <w:color w:val="FF0000"/>
        </w:rPr>
        <w:drawing>
          <wp:inline distT="0" distB="0" distL="0" distR="0" wp14:anchorId="3137A6CE" wp14:editId="22F0351D">
            <wp:extent cx="5727700" cy="6901132"/>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445" cy="6911669"/>
                    </a:xfrm>
                    <a:prstGeom prst="rect">
                      <a:avLst/>
                    </a:prstGeom>
                    <a:noFill/>
                    <a:ln>
                      <a:noFill/>
                    </a:ln>
                  </pic:spPr>
                </pic:pic>
              </a:graphicData>
            </a:graphic>
          </wp:inline>
        </w:drawing>
      </w:r>
    </w:p>
    <w:p w14:paraId="70B26766" w14:textId="4860FBAA" w:rsidR="00575ABE" w:rsidRPr="00575ABE" w:rsidRDefault="00575ABE" w:rsidP="00D20156">
      <w:pPr>
        <w:spacing w:after="0" w:line="240" w:lineRule="auto"/>
        <w:ind w:left="-567" w:right="-852"/>
        <w:jc w:val="both"/>
      </w:pPr>
      <w:r w:rsidRPr="00575ABE">
        <w:t>Fonte</w:t>
      </w:r>
      <w:r>
        <w:t xml:space="preserve">: </w:t>
      </w:r>
      <w:r w:rsidRPr="00575ABE">
        <w:t>Secretaria de Estado de Santa Catarina/DIVE</w:t>
      </w:r>
      <w:r>
        <w:t>/</w:t>
      </w:r>
    </w:p>
    <w:p w14:paraId="4E28FBFC" w14:textId="462D27BC" w:rsidR="00575ABE" w:rsidRDefault="00575ABE" w:rsidP="00D20156">
      <w:pPr>
        <w:spacing w:after="0" w:line="240" w:lineRule="auto"/>
        <w:ind w:left="-567" w:right="-852"/>
        <w:jc w:val="both"/>
      </w:pPr>
      <w:r w:rsidRPr="00575ABE">
        <w:t xml:space="preserve">Gerência de Vigilância de Doenças </w:t>
      </w:r>
      <w:proofErr w:type="spellStart"/>
      <w:r w:rsidRPr="00575ABE">
        <w:t>Imunopreviníveis</w:t>
      </w:r>
      <w:proofErr w:type="spellEnd"/>
      <w:r w:rsidRPr="00575ABE">
        <w:t>, DTHA e Imunização</w:t>
      </w:r>
    </w:p>
    <w:p w14:paraId="4D5A43F1" w14:textId="1AED5CEE" w:rsidR="00175D17" w:rsidRDefault="00175D17" w:rsidP="00D20156">
      <w:pPr>
        <w:spacing w:after="0" w:line="240" w:lineRule="auto"/>
        <w:ind w:left="-567" w:right="-852"/>
        <w:jc w:val="both"/>
      </w:pPr>
    </w:p>
    <w:p w14:paraId="1F12CAEA" w14:textId="2EFF2C2E" w:rsidR="00175D17" w:rsidRDefault="00175D17" w:rsidP="00D20156">
      <w:pPr>
        <w:spacing w:after="0" w:line="240" w:lineRule="auto"/>
        <w:ind w:left="-567" w:right="-852"/>
        <w:jc w:val="both"/>
      </w:pPr>
    </w:p>
    <w:p w14:paraId="0E4EAAE5" w14:textId="7AFEBFEC" w:rsidR="00175D17" w:rsidRDefault="00175D17" w:rsidP="00D20156">
      <w:pPr>
        <w:spacing w:after="0" w:line="240" w:lineRule="auto"/>
        <w:ind w:left="-567" w:right="-852"/>
        <w:jc w:val="both"/>
      </w:pPr>
    </w:p>
    <w:p w14:paraId="1A15AB6F" w14:textId="4C5E8DFA" w:rsidR="00175D17" w:rsidRDefault="00175D17" w:rsidP="00D20156">
      <w:pPr>
        <w:spacing w:after="0" w:line="240" w:lineRule="auto"/>
        <w:ind w:left="-567" w:right="-852"/>
        <w:jc w:val="both"/>
      </w:pPr>
    </w:p>
    <w:p w14:paraId="627982B0" w14:textId="6A979617" w:rsidR="00175D17" w:rsidRDefault="00175D17" w:rsidP="00D20156">
      <w:pPr>
        <w:spacing w:after="0" w:line="240" w:lineRule="auto"/>
        <w:ind w:left="-567" w:right="-852"/>
        <w:jc w:val="both"/>
      </w:pPr>
    </w:p>
    <w:p w14:paraId="5465EFBC" w14:textId="65AAD10B" w:rsidR="00175D17" w:rsidRDefault="00175D17" w:rsidP="00D20156">
      <w:pPr>
        <w:spacing w:after="0" w:line="240" w:lineRule="auto"/>
        <w:ind w:left="-567" w:right="-852"/>
        <w:jc w:val="both"/>
      </w:pPr>
    </w:p>
    <w:p w14:paraId="6522735A" w14:textId="75B03429" w:rsidR="00175D17" w:rsidRDefault="00175D17" w:rsidP="00D20156">
      <w:pPr>
        <w:spacing w:after="0" w:line="240" w:lineRule="auto"/>
        <w:ind w:left="-567" w:right="-852"/>
        <w:jc w:val="both"/>
      </w:pPr>
    </w:p>
    <w:p w14:paraId="03CDFB64" w14:textId="1031CD6C" w:rsidR="00175D17" w:rsidRDefault="00175D17" w:rsidP="00D20156">
      <w:pPr>
        <w:spacing w:after="0" w:line="240" w:lineRule="auto"/>
        <w:ind w:left="-567" w:right="-852"/>
        <w:jc w:val="both"/>
      </w:pPr>
    </w:p>
    <w:p w14:paraId="61A27482" w14:textId="305C9BFC" w:rsidR="00175D17" w:rsidRDefault="00175D17" w:rsidP="00D20156">
      <w:pPr>
        <w:spacing w:after="0" w:line="240" w:lineRule="auto"/>
        <w:ind w:left="-567" w:right="-852"/>
        <w:jc w:val="both"/>
      </w:pPr>
    </w:p>
    <w:p w14:paraId="6BD8D694" w14:textId="78ACE944" w:rsidR="00175D17" w:rsidRDefault="00175D17" w:rsidP="00D20156">
      <w:pPr>
        <w:spacing w:after="0" w:line="240" w:lineRule="auto"/>
        <w:ind w:left="-567" w:right="-852"/>
        <w:jc w:val="both"/>
      </w:pPr>
    </w:p>
    <w:p w14:paraId="1C7DDF80" w14:textId="23F3E67A" w:rsidR="00175D17" w:rsidRDefault="00175D17" w:rsidP="00D20156">
      <w:pPr>
        <w:spacing w:after="0" w:line="240" w:lineRule="auto"/>
        <w:ind w:left="-567" w:right="-852"/>
        <w:jc w:val="both"/>
      </w:pPr>
    </w:p>
    <w:p w14:paraId="5EDD99E7" w14:textId="76662CF9" w:rsidR="00175D17" w:rsidRDefault="00175D17" w:rsidP="00D20156">
      <w:pPr>
        <w:spacing w:after="0" w:line="240" w:lineRule="auto"/>
        <w:ind w:left="-567" w:right="-852"/>
        <w:jc w:val="both"/>
      </w:pPr>
    </w:p>
    <w:p w14:paraId="48D8488A" w14:textId="4D882F34" w:rsidR="00175D17" w:rsidRDefault="00175D17" w:rsidP="00D20156">
      <w:pPr>
        <w:spacing w:after="0" w:line="240" w:lineRule="auto"/>
        <w:ind w:left="-567" w:right="-852"/>
        <w:jc w:val="both"/>
      </w:pPr>
      <w:bookmarkStart w:id="5" w:name="_Hlk74146002"/>
      <w:r>
        <w:lastRenderedPageBreak/>
        <w:t>ANEXO 3- Planilha de Casos de Diarreia para preenchimento semanal pela UBS</w:t>
      </w:r>
    </w:p>
    <w:bookmarkEnd w:id="5"/>
    <w:p w14:paraId="599FEA72" w14:textId="542CDF9F" w:rsidR="00175D17" w:rsidRDefault="00175D17" w:rsidP="00D20156">
      <w:pPr>
        <w:spacing w:after="0" w:line="240" w:lineRule="auto"/>
        <w:ind w:left="-567" w:right="-852"/>
        <w:jc w:val="both"/>
      </w:pPr>
      <w:r>
        <w:rPr>
          <w:noProof/>
        </w:rPr>
        <w:drawing>
          <wp:inline distT="0" distB="0" distL="0" distR="0" wp14:anchorId="69FD3DB5" wp14:editId="51690D39">
            <wp:extent cx="6002655" cy="859536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464" cy="8619429"/>
                    </a:xfrm>
                    <a:prstGeom prst="rect">
                      <a:avLst/>
                    </a:prstGeom>
                    <a:noFill/>
                    <a:ln>
                      <a:noFill/>
                    </a:ln>
                  </pic:spPr>
                </pic:pic>
              </a:graphicData>
            </a:graphic>
          </wp:inline>
        </w:drawing>
      </w:r>
    </w:p>
    <w:p w14:paraId="588BA8A8" w14:textId="56955900" w:rsidR="00175D17" w:rsidRDefault="00175D17" w:rsidP="00D20156">
      <w:pPr>
        <w:spacing w:after="0" w:line="240" w:lineRule="auto"/>
        <w:ind w:left="-567" w:right="-852"/>
        <w:jc w:val="both"/>
      </w:pPr>
    </w:p>
    <w:p w14:paraId="3A84464B" w14:textId="7F89774B" w:rsidR="008C5493" w:rsidRDefault="008C5493" w:rsidP="00D20156">
      <w:pPr>
        <w:spacing w:after="0" w:line="240" w:lineRule="auto"/>
        <w:ind w:left="-567" w:right="-852"/>
        <w:jc w:val="both"/>
      </w:pPr>
    </w:p>
    <w:p w14:paraId="57B28675" w14:textId="76DD2D69" w:rsidR="008C5493" w:rsidRDefault="008C5493" w:rsidP="00D20156">
      <w:pPr>
        <w:spacing w:after="0" w:line="240" w:lineRule="auto"/>
        <w:ind w:left="-567" w:right="-852"/>
        <w:jc w:val="both"/>
      </w:pPr>
    </w:p>
    <w:p w14:paraId="1E241F77" w14:textId="6AD7D7B1" w:rsidR="008C5493" w:rsidRDefault="008C5493" w:rsidP="00D20156">
      <w:pPr>
        <w:spacing w:after="0" w:line="240" w:lineRule="auto"/>
        <w:ind w:left="-567" w:right="-852"/>
        <w:jc w:val="both"/>
      </w:pPr>
    </w:p>
    <w:p w14:paraId="757A9BBB" w14:textId="4FCE01BF" w:rsidR="008C5493" w:rsidRDefault="008C5493" w:rsidP="00D20156">
      <w:pPr>
        <w:spacing w:after="0" w:line="240" w:lineRule="auto"/>
        <w:ind w:left="-567" w:right="-852"/>
        <w:jc w:val="both"/>
      </w:pPr>
      <w:r>
        <w:rPr>
          <w:noProof/>
        </w:rPr>
        <w:lastRenderedPageBreak/>
        <w:drawing>
          <wp:inline distT="0" distB="0" distL="0" distR="0" wp14:anchorId="2E7C32ED" wp14:editId="7637A551">
            <wp:extent cx="5542675" cy="5009321"/>
            <wp:effectExtent l="0" t="0" r="127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146" cy="5016977"/>
                    </a:xfrm>
                    <a:prstGeom prst="rect">
                      <a:avLst/>
                    </a:prstGeom>
                    <a:noFill/>
                    <a:ln>
                      <a:noFill/>
                    </a:ln>
                  </pic:spPr>
                </pic:pic>
              </a:graphicData>
            </a:graphic>
          </wp:inline>
        </w:drawing>
      </w:r>
    </w:p>
    <w:p w14:paraId="2D25D6D4" w14:textId="50BB79FF" w:rsidR="008C5493" w:rsidRDefault="008C5493" w:rsidP="001A64AF">
      <w:pPr>
        <w:spacing w:after="0" w:line="240" w:lineRule="auto"/>
        <w:ind w:left="-426" w:right="-852"/>
        <w:jc w:val="both"/>
      </w:pPr>
      <w:r>
        <w:rPr>
          <w:noProof/>
        </w:rPr>
        <w:drawing>
          <wp:inline distT="0" distB="0" distL="0" distR="0" wp14:anchorId="04B1909C" wp14:editId="3331580C">
            <wp:extent cx="5429702" cy="40386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781" cy="4057254"/>
                    </a:xfrm>
                    <a:prstGeom prst="rect">
                      <a:avLst/>
                    </a:prstGeom>
                    <a:noFill/>
                    <a:ln>
                      <a:noFill/>
                    </a:ln>
                  </pic:spPr>
                </pic:pic>
              </a:graphicData>
            </a:graphic>
          </wp:inline>
        </w:drawing>
      </w:r>
    </w:p>
    <w:p w14:paraId="166D13A5" w14:textId="71975520" w:rsidR="00175D17" w:rsidRDefault="00175D17" w:rsidP="00D20156">
      <w:pPr>
        <w:spacing w:after="0" w:line="240" w:lineRule="auto"/>
        <w:ind w:left="-567" w:right="-852"/>
        <w:jc w:val="both"/>
      </w:pPr>
    </w:p>
    <w:p w14:paraId="55A9AD50" w14:textId="77777777" w:rsidR="00175D17" w:rsidRPr="00575ABE" w:rsidRDefault="00175D17" w:rsidP="00D20156">
      <w:pPr>
        <w:spacing w:after="0" w:line="240" w:lineRule="auto"/>
        <w:ind w:left="-567" w:right="-852"/>
        <w:jc w:val="both"/>
      </w:pPr>
    </w:p>
    <w:sectPr w:rsidR="00175D17" w:rsidRPr="00575ABE" w:rsidSect="007A546B">
      <w:pgSz w:w="11906" w:h="16838"/>
      <w:pgMar w:top="1134"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2CEB"/>
    <w:multiLevelType w:val="multilevel"/>
    <w:tmpl w:val="D63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73D5A"/>
    <w:multiLevelType w:val="multilevel"/>
    <w:tmpl w:val="CC5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616CD"/>
    <w:multiLevelType w:val="multilevel"/>
    <w:tmpl w:val="E4C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91B8F"/>
    <w:multiLevelType w:val="multilevel"/>
    <w:tmpl w:val="D7E2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367EF"/>
    <w:multiLevelType w:val="multilevel"/>
    <w:tmpl w:val="338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70FB4"/>
    <w:multiLevelType w:val="multilevel"/>
    <w:tmpl w:val="5266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2235A"/>
    <w:multiLevelType w:val="multilevel"/>
    <w:tmpl w:val="BE0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2667B"/>
    <w:multiLevelType w:val="multilevel"/>
    <w:tmpl w:val="A36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C4563"/>
    <w:multiLevelType w:val="multilevel"/>
    <w:tmpl w:val="32C6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B1A83"/>
    <w:multiLevelType w:val="multilevel"/>
    <w:tmpl w:val="71D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85C22"/>
    <w:multiLevelType w:val="multilevel"/>
    <w:tmpl w:val="B70E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609EB"/>
    <w:multiLevelType w:val="multilevel"/>
    <w:tmpl w:val="4D36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A42A7"/>
    <w:multiLevelType w:val="multilevel"/>
    <w:tmpl w:val="930A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71370"/>
    <w:multiLevelType w:val="multilevel"/>
    <w:tmpl w:val="C6F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
  </w:num>
  <w:num w:numId="4">
    <w:abstractNumId w:val="3"/>
  </w:num>
  <w:num w:numId="5">
    <w:abstractNumId w:val="8"/>
  </w:num>
  <w:num w:numId="6">
    <w:abstractNumId w:val="6"/>
  </w:num>
  <w:num w:numId="7">
    <w:abstractNumId w:val="11"/>
  </w:num>
  <w:num w:numId="8">
    <w:abstractNumId w:val="13"/>
  </w:num>
  <w:num w:numId="9">
    <w:abstractNumId w:val="9"/>
  </w:num>
  <w:num w:numId="10">
    <w:abstractNumId w:val="5"/>
  </w:num>
  <w:num w:numId="11">
    <w:abstractNumId w:val="0"/>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DD"/>
    <w:rsid w:val="000831F5"/>
    <w:rsid w:val="000D1E7C"/>
    <w:rsid w:val="00175D17"/>
    <w:rsid w:val="001A64AF"/>
    <w:rsid w:val="001C58B9"/>
    <w:rsid w:val="002A7F9C"/>
    <w:rsid w:val="002E01F8"/>
    <w:rsid w:val="0036147C"/>
    <w:rsid w:val="0037111B"/>
    <w:rsid w:val="00376006"/>
    <w:rsid w:val="003B4FFC"/>
    <w:rsid w:val="00422965"/>
    <w:rsid w:val="00446D86"/>
    <w:rsid w:val="00456BC9"/>
    <w:rsid w:val="004A4930"/>
    <w:rsid w:val="00506EE8"/>
    <w:rsid w:val="00575ABE"/>
    <w:rsid w:val="005975B6"/>
    <w:rsid w:val="005D0425"/>
    <w:rsid w:val="00792AA4"/>
    <w:rsid w:val="007A546B"/>
    <w:rsid w:val="008035CB"/>
    <w:rsid w:val="008332AF"/>
    <w:rsid w:val="008819ED"/>
    <w:rsid w:val="008C4428"/>
    <w:rsid w:val="008C5493"/>
    <w:rsid w:val="008C5FF1"/>
    <w:rsid w:val="008C79F4"/>
    <w:rsid w:val="008E56DD"/>
    <w:rsid w:val="009148BE"/>
    <w:rsid w:val="00986919"/>
    <w:rsid w:val="00996969"/>
    <w:rsid w:val="009C4F8A"/>
    <w:rsid w:val="009F5C64"/>
    <w:rsid w:val="00AB281F"/>
    <w:rsid w:val="00B2563B"/>
    <w:rsid w:val="00C0180E"/>
    <w:rsid w:val="00CB3C68"/>
    <w:rsid w:val="00D20156"/>
    <w:rsid w:val="00D84302"/>
    <w:rsid w:val="00E10001"/>
    <w:rsid w:val="00E75B1B"/>
    <w:rsid w:val="00EB32F9"/>
    <w:rsid w:val="00F079E4"/>
    <w:rsid w:val="00F352ED"/>
    <w:rsid w:val="00F6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AEAB"/>
  <w15:docId w15:val="{CD7CE3AC-8E30-4782-A65E-805BA64C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975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563B"/>
    <w:rPr>
      <w:b/>
      <w:bCs/>
    </w:rPr>
  </w:style>
  <w:style w:type="character" w:styleId="Hyperlink">
    <w:name w:val="Hyperlink"/>
    <w:basedOn w:val="Fontepargpadro"/>
    <w:uiPriority w:val="99"/>
    <w:unhideWhenUsed/>
    <w:rsid w:val="002A7F9C"/>
    <w:rPr>
      <w:color w:val="0000FF" w:themeColor="hyperlink"/>
      <w:u w:val="single"/>
    </w:rPr>
  </w:style>
  <w:style w:type="character" w:styleId="MenoPendente">
    <w:name w:val="Unresolved Mention"/>
    <w:basedOn w:val="Fontepargpadro"/>
    <w:uiPriority w:val="99"/>
    <w:semiHidden/>
    <w:unhideWhenUsed/>
    <w:rsid w:val="002A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7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2508">
          <w:marLeft w:val="0"/>
          <w:marRight w:val="0"/>
          <w:marTop w:val="0"/>
          <w:marBottom w:val="0"/>
          <w:divBdr>
            <w:top w:val="none" w:sz="0" w:space="0" w:color="auto"/>
            <w:left w:val="none" w:sz="0" w:space="0" w:color="auto"/>
            <w:bottom w:val="none" w:sz="0" w:space="0" w:color="auto"/>
            <w:right w:val="none" w:sz="0" w:space="0" w:color="auto"/>
          </w:divBdr>
        </w:div>
        <w:div w:id="1517621792">
          <w:marLeft w:val="0"/>
          <w:marRight w:val="0"/>
          <w:marTop w:val="0"/>
          <w:marBottom w:val="0"/>
          <w:divBdr>
            <w:top w:val="none" w:sz="0" w:space="0" w:color="auto"/>
            <w:left w:val="none" w:sz="0" w:space="0" w:color="auto"/>
            <w:bottom w:val="none" w:sz="0" w:space="0" w:color="auto"/>
            <w:right w:val="none" w:sz="0" w:space="0" w:color="auto"/>
          </w:divBdr>
        </w:div>
        <w:div w:id="1847671406">
          <w:marLeft w:val="0"/>
          <w:marRight w:val="0"/>
          <w:marTop w:val="0"/>
          <w:marBottom w:val="0"/>
          <w:divBdr>
            <w:top w:val="none" w:sz="0" w:space="0" w:color="auto"/>
            <w:left w:val="none" w:sz="0" w:space="0" w:color="auto"/>
            <w:bottom w:val="none" w:sz="0" w:space="0" w:color="auto"/>
            <w:right w:val="none" w:sz="0" w:space="0" w:color="auto"/>
          </w:divBdr>
        </w:div>
        <w:div w:id="749037433">
          <w:marLeft w:val="0"/>
          <w:marRight w:val="0"/>
          <w:marTop w:val="0"/>
          <w:marBottom w:val="0"/>
          <w:divBdr>
            <w:top w:val="none" w:sz="0" w:space="0" w:color="auto"/>
            <w:left w:val="none" w:sz="0" w:space="0" w:color="auto"/>
            <w:bottom w:val="none" w:sz="0" w:space="0" w:color="auto"/>
            <w:right w:val="none" w:sz="0" w:space="0" w:color="auto"/>
          </w:divBdr>
        </w:div>
        <w:div w:id="1106078437">
          <w:marLeft w:val="0"/>
          <w:marRight w:val="0"/>
          <w:marTop w:val="0"/>
          <w:marBottom w:val="0"/>
          <w:divBdr>
            <w:top w:val="none" w:sz="0" w:space="0" w:color="auto"/>
            <w:left w:val="none" w:sz="0" w:space="0" w:color="auto"/>
            <w:bottom w:val="none" w:sz="0" w:space="0" w:color="auto"/>
            <w:right w:val="none" w:sz="0" w:space="0" w:color="auto"/>
          </w:divBdr>
        </w:div>
      </w:divsChild>
    </w:div>
    <w:div w:id="55396715">
      <w:bodyDiv w:val="1"/>
      <w:marLeft w:val="0"/>
      <w:marRight w:val="0"/>
      <w:marTop w:val="0"/>
      <w:marBottom w:val="0"/>
      <w:divBdr>
        <w:top w:val="none" w:sz="0" w:space="0" w:color="auto"/>
        <w:left w:val="none" w:sz="0" w:space="0" w:color="auto"/>
        <w:bottom w:val="none" w:sz="0" w:space="0" w:color="auto"/>
        <w:right w:val="none" w:sz="0" w:space="0" w:color="auto"/>
      </w:divBdr>
    </w:div>
    <w:div w:id="157311062">
      <w:bodyDiv w:val="1"/>
      <w:marLeft w:val="0"/>
      <w:marRight w:val="0"/>
      <w:marTop w:val="0"/>
      <w:marBottom w:val="0"/>
      <w:divBdr>
        <w:top w:val="none" w:sz="0" w:space="0" w:color="auto"/>
        <w:left w:val="none" w:sz="0" w:space="0" w:color="auto"/>
        <w:bottom w:val="none" w:sz="0" w:space="0" w:color="auto"/>
        <w:right w:val="none" w:sz="0" w:space="0" w:color="auto"/>
      </w:divBdr>
      <w:divsChild>
        <w:div w:id="1952590328">
          <w:marLeft w:val="0"/>
          <w:marRight w:val="0"/>
          <w:marTop w:val="0"/>
          <w:marBottom w:val="0"/>
          <w:divBdr>
            <w:top w:val="none" w:sz="0" w:space="0" w:color="auto"/>
            <w:left w:val="none" w:sz="0" w:space="0" w:color="auto"/>
            <w:bottom w:val="none" w:sz="0" w:space="0" w:color="auto"/>
            <w:right w:val="none" w:sz="0" w:space="0" w:color="auto"/>
          </w:divBdr>
        </w:div>
        <w:div w:id="99878314">
          <w:marLeft w:val="0"/>
          <w:marRight w:val="0"/>
          <w:marTop w:val="0"/>
          <w:marBottom w:val="0"/>
          <w:divBdr>
            <w:top w:val="none" w:sz="0" w:space="0" w:color="auto"/>
            <w:left w:val="none" w:sz="0" w:space="0" w:color="auto"/>
            <w:bottom w:val="none" w:sz="0" w:space="0" w:color="auto"/>
            <w:right w:val="none" w:sz="0" w:space="0" w:color="auto"/>
          </w:divBdr>
        </w:div>
        <w:div w:id="1389763685">
          <w:marLeft w:val="0"/>
          <w:marRight w:val="0"/>
          <w:marTop w:val="0"/>
          <w:marBottom w:val="0"/>
          <w:divBdr>
            <w:top w:val="none" w:sz="0" w:space="0" w:color="auto"/>
            <w:left w:val="none" w:sz="0" w:space="0" w:color="auto"/>
            <w:bottom w:val="none" w:sz="0" w:space="0" w:color="auto"/>
            <w:right w:val="none" w:sz="0" w:space="0" w:color="auto"/>
          </w:divBdr>
        </w:div>
        <w:div w:id="1343124134">
          <w:marLeft w:val="0"/>
          <w:marRight w:val="0"/>
          <w:marTop w:val="0"/>
          <w:marBottom w:val="0"/>
          <w:divBdr>
            <w:top w:val="none" w:sz="0" w:space="0" w:color="auto"/>
            <w:left w:val="none" w:sz="0" w:space="0" w:color="auto"/>
            <w:bottom w:val="none" w:sz="0" w:space="0" w:color="auto"/>
            <w:right w:val="none" w:sz="0" w:space="0" w:color="auto"/>
          </w:divBdr>
        </w:div>
        <w:div w:id="2128622140">
          <w:marLeft w:val="0"/>
          <w:marRight w:val="0"/>
          <w:marTop w:val="0"/>
          <w:marBottom w:val="0"/>
          <w:divBdr>
            <w:top w:val="none" w:sz="0" w:space="0" w:color="auto"/>
            <w:left w:val="none" w:sz="0" w:space="0" w:color="auto"/>
            <w:bottom w:val="none" w:sz="0" w:space="0" w:color="auto"/>
            <w:right w:val="none" w:sz="0" w:space="0" w:color="auto"/>
          </w:divBdr>
        </w:div>
        <w:div w:id="841579616">
          <w:marLeft w:val="0"/>
          <w:marRight w:val="0"/>
          <w:marTop w:val="0"/>
          <w:marBottom w:val="0"/>
          <w:divBdr>
            <w:top w:val="none" w:sz="0" w:space="0" w:color="auto"/>
            <w:left w:val="none" w:sz="0" w:space="0" w:color="auto"/>
            <w:bottom w:val="none" w:sz="0" w:space="0" w:color="auto"/>
            <w:right w:val="none" w:sz="0" w:space="0" w:color="auto"/>
          </w:divBdr>
        </w:div>
      </w:divsChild>
    </w:div>
    <w:div w:id="33712289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55">
          <w:marLeft w:val="0"/>
          <w:marRight w:val="0"/>
          <w:marTop w:val="0"/>
          <w:marBottom w:val="0"/>
          <w:divBdr>
            <w:top w:val="none" w:sz="0" w:space="0" w:color="auto"/>
            <w:left w:val="none" w:sz="0" w:space="0" w:color="auto"/>
            <w:bottom w:val="none" w:sz="0" w:space="0" w:color="auto"/>
            <w:right w:val="none" w:sz="0" w:space="0" w:color="auto"/>
          </w:divBdr>
        </w:div>
        <w:div w:id="1277835068">
          <w:marLeft w:val="0"/>
          <w:marRight w:val="0"/>
          <w:marTop w:val="0"/>
          <w:marBottom w:val="0"/>
          <w:divBdr>
            <w:top w:val="none" w:sz="0" w:space="0" w:color="auto"/>
            <w:left w:val="none" w:sz="0" w:space="0" w:color="auto"/>
            <w:bottom w:val="none" w:sz="0" w:space="0" w:color="auto"/>
            <w:right w:val="none" w:sz="0" w:space="0" w:color="auto"/>
          </w:divBdr>
        </w:div>
        <w:div w:id="185212526">
          <w:marLeft w:val="0"/>
          <w:marRight w:val="0"/>
          <w:marTop w:val="0"/>
          <w:marBottom w:val="0"/>
          <w:divBdr>
            <w:top w:val="none" w:sz="0" w:space="0" w:color="auto"/>
            <w:left w:val="none" w:sz="0" w:space="0" w:color="auto"/>
            <w:bottom w:val="none" w:sz="0" w:space="0" w:color="auto"/>
            <w:right w:val="none" w:sz="0" w:space="0" w:color="auto"/>
          </w:divBdr>
        </w:div>
        <w:div w:id="1626735905">
          <w:marLeft w:val="0"/>
          <w:marRight w:val="0"/>
          <w:marTop w:val="0"/>
          <w:marBottom w:val="0"/>
          <w:divBdr>
            <w:top w:val="none" w:sz="0" w:space="0" w:color="auto"/>
            <w:left w:val="none" w:sz="0" w:space="0" w:color="auto"/>
            <w:bottom w:val="none" w:sz="0" w:space="0" w:color="auto"/>
            <w:right w:val="none" w:sz="0" w:space="0" w:color="auto"/>
          </w:divBdr>
        </w:div>
        <w:div w:id="1238976398">
          <w:marLeft w:val="0"/>
          <w:marRight w:val="0"/>
          <w:marTop w:val="0"/>
          <w:marBottom w:val="0"/>
          <w:divBdr>
            <w:top w:val="none" w:sz="0" w:space="0" w:color="auto"/>
            <w:left w:val="none" w:sz="0" w:space="0" w:color="auto"/>
            <w:bottom w:val="none" w:sz="0" w:space="0" w:color="auto"/>
            <w:right w:val="none" w:sz="0" w:space="0" w:color="auto"/>
          </w:divBdr>
        </w:div>
        <w:div w:id="748113649">
          <w:marLeft w:val="0"/>
          <w:marRight w:val="0"/>
          <w:marTop w:val="0"/>
          <w:marBottom w:val="0"/>
          <w:divBdr>
            <w:top w:val="none" w:sz="0" w:space="0" w:color="auto"/>
            <w:left w:val="none" w:sz="0" w:space="0" w:color="auto"/>
            <w:bottom w:val="none" w:sz="0" w:space="0" w:color="auto"/>
            <w:right w:val="none" w:sz="0" w:space="0" w:color="auto"/>
          </w:divBdr>
        </w:div>
      </w:divsChild>
    </w:div>
    <w:div w:id="685056506">
      <w:bodyDiv w:val="1"/>
      <w:marLeft w:val="0"/>
      <w:marRight w:val="0"/>
      <w:marTop w:val="0"/>
      <w:marBottom w:val="0"/>
      <w:divBdr>
        <w:top w:val="none" w:sz="0" w:space="0" w:color="auto"/>
        <w:left w:val="none" w:sz="0" w:space="0" w:color="auto"/>
        <w:bottom w:val="none" w:sz="0" w:space="0" w:color="auto"/>
        <w:right w:val="none" w:sz="0" w:space="0" w:color="auto"/>
      </w:divBdr>
      <w:divsChild>
        <w:div w:id="1901549844">
          <w:marLeft w:val="0"/>
          <w:marRight w:val="0"/>
          <w:marTop w:val="0"/>
          <w:marBottom w:val="0"/>
          <w:divBdr>
            <w:top w:val="none" w:sz="0" w:space="0" w:color="auto"/>
            <w:left w:val="none" w:sz="0" w:space="0" w:color="auto"/>
            <w:bottom w:val="none" w:sz="0" w:space="0" w:color="auto"/>
            <w:right w:val="none" w:sz="0" w:space="0" w:color="auto"/>
          </w:divBdr>
        </w:div>
        <w:div w:id="1149833328">
          <w:marLeft w:val="0"/>
          <w:marRight w:val="0"/>
          <w:marTop w:val="0"/>
          <w:marBottom w:val="0"/>
          <w:divBdr>
            <w:top w:val="none" w:sz="0" w:space="0" w:color="auto"/>
            <w:left w:val="none" w:sz="0" w:space="0" w:color="auto"/>
            <w:bottom w:val="none" w:sz="0" w:space="0" w:color="auto"/>
            <w:right w:val="none" w:sz="0" w:space="0" w:color="auto"/>
          </w:divBdr>
        </w:div>
        <w:div w:id="946430682">
          <w:marLeft w:val="0"/>
          <w:marRight w:val="0"/>
          <w:marTop w:val="0"/>
          <w:marBottom w:val="0"/>
          <w:divBdr>
            <w:top w:val="none" w:sz="0" w:space="0" w:color="auto"/>
            <w:left w:val="none" w:sz="0" w:space="0" w:color="auto"/>
            <w:bottom w:val="none" w:sz="0" w:space="0" w:color="auto"/>
            <w:right w:val="none" w:sz="0" w:space="0" w:color="auto"/>
          </w:divBdr>
        </w:div>
        <w:div w:id="1935433202">
          <w:marLeft w:val="0"/>
          <w:marRight w:val="0"/>
          <w:marTop w:val="0"/>
          <w:marBottom w:val="0"/>
          <w:divBdr>
            <w:top w:val="none" w:sz="0" w:space="0" w:color="auto"/>
            <w:left w:val="none" w:sz="0" w:space="0" w:color="auto"/>
            <w:bottom w:val="none" w:sz="0" w:space="0" w:color="auto"/>
            <w:right w:val="none" w:sz="0" w:space="0" w:color="auto"/>
          </w:divBdr>
        </w:div>
        <w:div w:id="861557777">
          <w:marLeft w:val="0"/>
          <w:marRight w:val="0"/>
          <w:marTop w:val="0"/>
          <w:marBottom w:val="0"/>
          <w:divBdr>
            <w:top w:val="none" w:sz="0" w:space="0" w:color="auto"/>
            <w:left w:val="none" w:sz="0" w:space="0" w:color="auto"/>
            <w:bottom w:val="none" w:sz="0" w:space="0" w:color="auto"/>
            <w:right w:val="none" w:sz="0" w:space="0" w:color="auto"/>
          </w:divBdr>
        </w:div>
      </w:divsChild>
    </w:div>
    <w:div w:id="841772124">
      <w:bodyDiv w:val="1"/>
      <w:marLeft w:val="0"/>
      <w:marRight w:val="0"/>
      <w:marTop w:val="0"/>
      <w:marBottom w:val="0"/>
      <w:divBdr>
        <w:top w:val="none" w:sz="0" w:space="0" w:color="auto"/>
        <w:left w:val="none" w:sz="0" w:space="0" w:color="auto"/>
        <w:bottom w:val="none" w:sz="0" w:space="0" w:color="auto"/>
        <w:right w:val="none" w:sz="0" w:space="0" w:color="auto"/>
      </w:divBdr>
      <w:divsChild>
        <w:div w:id="2056270559">
          <w:marLeft w:val="0"/>
          <w:marRight w:val="0"/>
          <w:marTop w:val="0"/>
          <w:marBottom w:val="0"/>
          <w:divBdr>
            <w:top w:val="none" w:sz="0" w:space="0" w:color="auto"/>
            <w:left w:val="none" w:sz="0" w:space="0" w:color="auto"/>
            <w:bottom w:val="none" w:sz="0" w:space="0" w:color="auto"/>
            <w:right w:val="none" w:sz="0" w:space="0" w:color="auto"/>
          </w:divBdr>
        </w:div>
        <w:div w:id="834296346">
          <w:marLeft w:val="0"/>
          <w:marRight w:val="0"/>
          <w:marTop w:val="0"/>
          <w:marBottom w:val="0"/>
          <w:divBdr>
            <w:top w:val="none" w:sz="0" w:space="0" w:color="auto"/>
            <w:left w:val="none" w:sz="0" w:space="0" w:color="auto"/>
            <w:bottom w:val="none" w:sz="0" w:space="0" w:color="auto"/>
            <w:right w:val="none" w:sz="0" w:space="0" w:color="auto"/>
          </w:divBdr>
        </w:div>
        <w:div w:id="1035039395">
          <w:marLeft w:val="0"/>
          <w:marRight w:val="0"/>
          <w:marTop w:val="0"/>
          <w:marBottom w:val="0"/>
          <w:divBdr>
            <w:top w:val="none" w:sz="0" w:space="0" w:color="auto"/>
            <w:left w:val="none" w:sz="0" w:space="0" w:color="auto"/>
            <w:bottom w:val="none" w:sz="0" w:space="0" w:color="auto"/>
            <w:right w:val="none" w:sz="0" w:space="0" w:color="auto"/>
          </w:divBdr>
        </w:div>
        <w:div w:id="315183340">
          <w:marLeft w:val="0"/>
          <w:marRight w:val="0"/>
          <w:marTop w:val="0"/>
          <w:marBottom w:val="0"/>
          <w:divBdr>
            <w:top w:val="none" w:sz="0" w:space="0" w:color="auto"/>
            <w:left w:val="none" w:sz="0" w:space="0" w:color="auto"/>
            <w:bottom w:val="none" w:sz="0" w:space="0" w:color="auto"/>
            <w:right w:val="none" w:sz="0" w:space="0" w:color="auto"/>
          </w:divBdr>
        </w:div>
        <w:div w:id="548884054">
          <w:marLeft w:val="0"/>
          <w:marRight w:val="0"/>
          <w:marTop w:val="0"/>
          <w:marBottom w:val="0"/>
          <w:divBdr>
            <w:top w:val="none" w:sz="0" w:space="0" w:color="auto"/>
            <w:left w:val="none" w:sz="0" w:space="0" w:color="auto"/>
            <w:bottom w:val="none" w:sz="0" w:space="0" w:color="auto"/>
            <w:right w:val="none" w:sz="0" w:space="0" w:color="auto"/>
          </w:divBdr>
        </w:div>
        <w:div w:id="1442918221">
          <w:marLeft w:val="0"/>
          <w:marRight w:val="0"/>
          <w:marTop w:val="0"/>
          <w:marBottom w:val="0"/>
          <w:divBdr>
            <w:top w:val="none" w:sz="0" w:space="0" w:color="auto"/>
            <w:left w:val="none" w:sz="0" w:space="0" w:color="auto"/>
            <w:bottom w:val="none" w:sz="0" w:space="0" w:color="auto"/>
            <w:right w:val="none" w:sz="0" w:space="0" w:color="auto"/>
          </w:divBdr>
        </w:div>
      </w:divsChild>
    </w:div>
    <w:div w:id="1087732292">
      <w:bodyDiv w:val="1"/>
      <w:marLeft w:val="0"/>
      <w:marRight w:val="0"/>
      <w:marTop w:val="0"/>
      <w:marBottom w:val="0"/>
      <w:divBdr>
        <w:top w:val="none" w:sz="0" w:space="0" w:color="auto"/>
        <w:left w:val="none" w:sz="0" w:space="0" w:color="auto"/>
        <w:bottom w:val="none" w:sz="0" w:space="0" w:color="auto"/>
        <w:right w:val="none" w:sz="0" w:space="0" w:color="auto"/>
      </w:divBdr>
      <w:divsChild>
        <w:div w:id="2134059202">
          <w:marLeft w:val="0"/>
          <w:marRight w:val="0"/>
          <w:marTop w:val="0"/>
          <w:marBottom w:val="0"/>
          <w:divBdr>
            <w:top w:val="none" w:sz="0" w:space="0" w:color="auto"/>
            <w:left w:val="none" w:sz="0" w:space="0" w:color="auto"/>
            <w:bottom w:val="none" w:sz="0" w:space="0" w:color="auto"/>
            <w:right w:val="none" w:sz="0" w:space="0" w:color="auto"/>
          </w:divBdr>
        </w:div>
        <w:div w:id="1988708976">
          <w:marLeft w:val="0"/>
          <w:marRight w:val="0"/>
          <w:marTop w:val="0"/>
          <w:marBottom w:val="0"/>
          <w:divBdr>
            <w:top w:val="none" w:sz="0" w:space="0" w:color="auto"/>
            <w:left w:val="none" w:sz="0" w:space="0" w:color="auto"/>
            <w:bottom w:val="none" w:sz="0" w:space="0" w:color="auto"/>
            <w:right w:val="none" w:sz="0" w:space="0" w:color="auto"/>
          </w:divBdr>
        </w:div>
      </w:divsChild>
    </w:div>
    <w:div w:id="1224871831">
      <w:bodyDiv w:val="1"/>
      <w:marLeft w:val="0"/>
      <w:marRight w:val="0"/>
      <w:marTop w:val="0"/>
      <w:marBottom w:val="0"/>
      <w:divBdr>
        <w:top w:val="none" w:sz="0" w:space="0" w:color="auto"/>
        <w:left w:val="none" w:sz="0" w:space="0" w:color="auto"/>
        <w:bottom w:val="none" w:sz="0" w:space="0" w:color="auto"/>
        <w:right w:val="none" w:sz="0" w:space="0" w:color="auto"/>
      </w:divBdr>
      <w:divsChild>
        <w:div w:id="748892408">
          <w:marLeft w:val="0"/>
          <w:marRight w:val="0"/>
          <w:marTop w:val="0"/>
          <w:marBottom w:val="0"/>
          <w:divBdr>
            <w:top w:val="none" w:sz="0" w:space="0" w:color="auto"/>
            <w:left w:val="none" w:sz="0" w:space="0" w:color="auto"/>
            <w:bottom w:val="none" w:sz="0" w:space="0" w:color="auto"/>
            <w:right w:val="none" w:sz="0" w:space="0" w:color="auto"/>
          </w:divBdr>
        </w:div>
        <w:div w:id="2132749347">
          <w:marLeft w:val="0"/>
          <w:marRight w:val="0"/>
          <w:marTop w:val="0"/>
          <w:marBottom w:val="0"/>
          <w:divBdr>
            <w:top w:val="none" w:sz="0" w:space="0" w:color="auto"/>
            <w:left w:val="none" w:sz="0" w:space="0" w:color="auto"/>
            <w:bottom w:val="none" w:sz="0" w:space="0" w:color="auto"/>
            <w:right w:val="none" w:sz="0" w:space="0" w:color="auto"/>
          </w:divBdr>
        </w:div>
        <w:div w:id="1389378654">
          <w:marLeft w:val="0"/>
          <w:marRight w:val="0"/>
          <w:marTop w:val="0"/>
          <w:marBottom w:val="0"/>
          <w:divBdr>
            <w:top w:val="none" w:sz="0" w:space="0" w:color="auto"/>
            <w:left w:val="none" w:sz="0" w:space="0" w:color="auto"/>
            <w:bottom w:val="none" w:sz="0" w:space="0" w:color="auto"/>
            <w:right w:val="none" w:sz="0" w:space="0" w:color="auto"/>
          </w:divBdr>
        </w:div>
        <w:div w:id="1776631944">
          <w:marLeft w:val="0"/>
          <w:marRight w:val="0"/>
          <w:marTop w:val="0"/>
          <w:marBottom w:val="0"/>
          <w:divBdr>
            <w:top w:val="none" w:sz="0" w:space="0" w:color="auto"/>
            <w:left w:val="none" w:sz="0" w:space="0" w:color="auto"/>
            <w:bottom w:val="none" w:sz="0" w:space="0" w:color="auto"/>
            <w:right w:val="none" w:sz="0" w:space="0" w:color="auto"/>
          </w:divBdr>
        </w:div>
        <w:div w:id="1081293234">
          <w:marLeft w:val="0"/>
          <w:marRight w:val="0"/>
          <w:marTop w:val="0"/>
          <w:marBottom w:val="0"/>
          <w:divBdr>
            <w:top w:val="none" w:sz="0" w:space="0" w:color="auto"/>
            <w:left w:val="none" w:sz="0" w:space="0" w:color="auto"/>
            <w:bottom w:val="none" w:sz="0" w:space="0" w:color="auto"/>
            <w:right w:val="none" w:sz="0" w:space="0" w:color="auto"/>
          </w:divBdr>
        </w:div>
        <w:div w:id="1820072814">
          <w:marLeft w:val="0"/>
          <w:marRight w:val="0"/>
          <w:marTop w:val="0"/>
          <w:marBottom w:val="0"/>
          <w:divBdr>
            <w:top w:val="none" w:sz="0" w:space="0" w:color="auto"/>
            <w:left w:val="none" w:sz="0" w:space="0" w:color="auto"/>
            <w:bottom w:val="none" w:sz="0" w:space="0" w:color="auto"/>
            <w:right w:val="none" w:sz="0" w:space="0" w:color="auto"/>
          </w:divBdr>
        </w:div>
      </w:divsChild>
    </w:div>
    <w:div w:id="1492135004">
      <w:bodyDiv w:val="1"/>
      <w:marLeft w:val="0"/>
      <w:marRight w:val="0"/>
      <w:marTop w:val="0"/>
      <w:marBottom w:val="0"/>
      <w:divBdr>
        <w:top w:val="none" w:sz="0" w:space="0" w:color="auto"/>
        <w:left w:val="none" w:sz="0" w:space="0" w:color="auto"/>
        <w:bottom w:val="none" w:sz="0" w:space="0" w:color="auto"/>
        <w:right w:val="none" w:sz="0" w:space="0" w:color="auto"/>
      </w:divBdr>
      <w:divsChild>
        <w:div w:id="797842636">
          <w:marLeft w:val="0"/>
          <w:marRight w:val="0"/>
          <w:marTop w:val="0"/>
          <w:marBottom w:val="0"/>
          <w:divBdr>
            <w:top w:val="none" w:sz="0" w:space="0" w:color="auto"/>
            <w:left w:val="none" w:sz="0" w:space="0" w:color="auto"/>
            <w:bottom w:val="none" w:sz="0" w:space="0" w:color="auto"/>
            <w:right w:val="none" w:sz="0" w:space="0" w:color="auto"/>
          </w:divBdr>
        </w:div>
        <w:div w:id="1132407168">
          <w:marLeft w:val="0"/>
          <w:marRight w:val="0"/>
          <w:marTop w:val="0"/>
          <w:marBottom w:val="0"/>
          <w:divBdr>
            <w:top w:val="none" w:sz="0" w:space="0" w:color="auto"/>
            <w:left w:val="none" w:sz="0" w:space="0" w:color="auto"/>
            <w:bottom w:val="none" w:sz="0" w:space="0" w:color="auto"/>
            <w:right w:val="none" w:sz="0" w:space="0" w:color="auto"/>
          </w:divBdr>
        </w:div>
        <w:div w:id="899898863">
          <w:marLeft w:val="0"/>
          <w:marRight w:val="0"/>
          <w:marTop w:val="0"/>
          <w:marBottom w:val="0"/>
          <w:divBdr>
            <w:top w:val="none" w:sz="0" w:space="0" w:color="auto"/>
            <w:left w:val="none" w:sz="0" w:space="0" w:color="auto"/>
            <w:bottom w:val="none" w:sz="0" w:space="0" w:color="auto"/>
            <w:right w:val="none" w:sz="0" w:space="0" w:color="auto"/>
          </w:divBdr>
        </w:div>
        <w:div w:id="792137125">
          <w:marLeft w:val="0"/>
          <w:marRight w:val="0"/>
          <w:marTop w:val="0"/>
          <w:marBottom w:val="0"/>
          <w:divBdr>
            <w:top w:val="none" w:sz="0" w:space="0" w:color="auto"/>
            <w:left w:val="none" w:sz="0" w:space="0" w:color="auto"/>
            <w:bottom w:val="none" w:sz="0" w:space="0" w:color="auto"/>
            <w:right w:val="none" w:sz="0" w:space="0" w:color="auto"/>
          </w:divBdr>
        </w:div>
        <w:div w:id="197935150">
          <w:marLeft w:val="0"/>
          <w:marRight w:val="0"/>
          <w:marTop w:val="0"/>
          <w:marBottom w:val="0"/>
          <w:divBdr>
            <w:top w:val="none" w:sz="0" w:space="0" w:color="auto"/>
            <w:left w:val="none" w:sz="0" w:space="0" w:color="auto"/>
            <w:bottom w:val="none" w:sz="0" w:space="0" w:color="auto"/>
            <w:right w:val="none" w:sz="0" w:space="0" w:color="auto"/>
          </w:divBdr>
        </w:div>
        <w:div w:id="1292709536">
          <w:marLeft w:val="0"/>
          <w:marRight w:val="0"/>
          <w:marTop w:val="0"/>
          <w:marBottom w:val="0"/>
          <w:divBdr>
            <w:top w:val="none" w:sz="0" w:space="0" w:color="auto"/>
            <w:left w:val="none" w:sz="0" w:space="0" w:color="auto"/>
            <w:bottom w:val="none" w:sz="0" w:space="0" w:color="auto"/>
            <w:right w:val="none" w:sz="0" w:space="0" w:color="auto"/>
          </w:divBdr>
        </w:div>
      </w:divsChild>
    </w:div>
    <w:div w:id="1555384202">
      <w:bodyDiv w:val="1"/>
      <w:marLeft w:val="0"/>
      <w:marRight w:val="0"/>
      <w:marTop w:val="0"/>
      <w:marBottom w:val="0"/>
      <w:divBdr>
        <w:top w:val="none" w:sz="0" w:space="0" w:color="auto"/>
        <w:left w:val="none" w:sz="0" w:space="0" w:color="auto"/>
        <w:bottom w:val="none" w:sz="0" w:space="0" w:color="auto"/>
        <w:right w:val="none" w:sz="0" w:space="0" w:color="auto"/>
      </w:divBdr>
      <w:divsChild>
        <w:div w:id="1970890479">
          <w:marLeft w:val="0"/>
          <w:marRight w:val="0"/>
          <w:marTop w:val="0"/>
          <w:marBottom w:val="0"/>
          <w:divBdr>
            <w:top w:val="none" w:sz="0" w:space="0" w:color="auto"/>
            <w:left w:val="none" w:sz="0" w:space="0" w:color="auto"/>
            <w:bottom w:val="none" w:sz="0" w:space="0" w:color="auto"/>
            <w:right w:val="none" w:sz="0" w:space="0" w:color="auto"/>
          </w:divBdr>
        </w:div>
        <w:div w:id="780534223">
          <w:marLeft w:val="0"/>
          <w:marRight w:val="0"/>
          <w:marTop w:val="0"/>
          <w:marBottom w:val="0"/>
          <w:divBdr>
            <w:top w:val="none" w:sz="0" w:space="0" w:color="auto"/>
            <w:left w:val="none" w:sz="0" w:space="0" w:color="auto"/>
            <w:bottom w:val="none" w:sz="0" w:space="0" w:color="auto"/>
            <w:right w:val="none" w:sz="0" w:space="0" w:color="auto"/>
          </w:divBdr>
        </w:div>
        <w:div w:id="1819179754">
          <w:marLeft w:val="0"/>
          <w:marRight w:val="0"/>
          <w:marTop w:val="0"/>
          <w:marBottom w:val="0"/>
          <w:divBdr>
            <w:top w:val="none" w:sz="0" w:space="0" w:color="auto"/>
            <w:left w:val="none" w:sz="0" w:space="0" w:color="auto"/>
            <w:bottom w:val="none" w:sz="0" w:space="0" w:color="auto"/>
            <w:right w:val="none" w:sz="0" w:space="0" w:color="auto"/>
          </w:divBdr>
        </w:div>
        <w:div w:id="98373997">
          <w:marLeft w:val="0"/>
          <w:marRight w:val="0"/>
          <w:marTop w:val="0"/>
          <w:marBottom w:val="0"/>
          <w:divBdr>
            <w:top w:val="none" w:sz="0" w:space="0" w:color="auto"/>
            <w:left w:val="none" w:sz="0" w:space="0" w:color="auto"/>
            <w:bottom w:val="none" w:sz="0" w:space="0" w:color="auto"/>
            <w:right w:val="none" w:sz="0" w:space="0" w:color="auto"/>
          </w:divBdr>
        </w:div>
        <w:div w:id="18356495">
          <w:marLeft w:val="0"/>
          <w:marRight w:val="0"/>
          <w:marTop w:val="0"/>
          <w:marBottom w:val="0"/>
          <w:divBdr>
            <w:top w:val="none" w:sz="0" w:space="0" w:color="auto"/>
            <w:left w:val="none" w:sz="0" w:space="0" w:color="auto"/>
            <w:bottom w:val="none" w:sz="0" w:space="0" w:color="auto"/>
            <w:right w:val="none" w:sz="0" w:space="0" w:color="auto"/>
          </w:divBdr>
        </w:div>
        <w:div w:id="1800294488">
          <w:marLeft w:val="0"/>
          <w:marRight w:val="0"/>
          <w:marTop w:val="0"/>
          <w:marBottom w:val="0"/>
          <w:divBdr>
            <w:top w:val="none" w:sz="0" w:space="0" w:color="auto"/>
            <w:left w:val="none" w:sz="0" w:space="0" w:color="auto"/>
            <w:bottom w:val="none" w:sz="0" w:space="0" w:color="auto"/>
            <w:right w:val="none" w:sz="0" w:space="0" w:color="auto"/>
          </w:divBdr>
        </w:div>
      </w:divsChild>
    </w:div>
    <w:div w:id="1565025558">
      <w:bodyDiv w:val="1"/>
      <w:marLeft w:val="0"/>
      <w:marRight w:val="0"/>
      <w:marTop w:val="0"/>
      <w:marBottom w:val="0"/>
      <w:divBdr>
        <w:top w:val="none" w:sz="0" w:space="0" w:color="auto"/>
        <w:left w:val="none" w:sz="0" w:space="0" w:color="auto"/>
        <w:bottom w:val="none" w:sz="0" w:space="0" w:color="auto"/>
        <w:right w:val="none" w:sz="0" w:space="0" w:color="auto"/>
      </w:divBdr>
      <w:divsChild>
        <w:div w:id="160464429">
          <w:marLeft w:val="0"/>
          <w:marRight w:val="0"/>
          <w:marTop w:val="0"/>
          <w:marBottom w:val="0"/>
          <w:divBdr>
            <w:top w:val="none" w:sz="0" w:space="0" w:color="auto"/>
            <w:left w:val="none" w:sz="0" w:space="0" w:color="auto"/>
            <w:bottom w:val="none" w:sz="0" w:space="0" w:color="auto"/>
            <w:right w:val="none" w:sz="0" w:space="0" w:color="auto"/>
          </w:divBdr>
        </w:div>
        <w:div w:id="601837458">
          <w:marLeft w:val="0"/>
          <w:marRight w:val="0"/>
          <w:marTop w:val="0"/>
          <w:marBottom w:val="0"/>
          <w:divBdr>
            <w:top w:val="none" w:sz="0" w:space="0" w:color="auto"/>
            <w:left w:val="none" w:sz="0" w:space="0" w:color="auto"/>
            <w:bottom w:val="none" w:sz="0" w:space="0" w:color="auto"/>
            <w:right w:val="none" w:sz="0" w:space="0" w:color="auto"/>
          </w:divBdr>
        </w:div>
        <w:div w:id="1096360588">
          <w:marLeft w:val="0"/>
          <w:marRight w:val="0"/>
          <w:marTop w:val="0"/>
          <w:marBottom w:val="0"/>
          <w:divBdr>
            <w:top w:val="none" w:sz="0" w:space="0" w:color="auto"/>
            <w:left w:val="none" w:sz="0" w:space="0" w:color="auto"/>
            <w:bottom w:val="none" w:sz="0" w:space="0" w:color="auto"/>
            <w:right w:val="none" w:sz="0" w:space="0" w:color="auto"/>
          </w:divBdr>
        </w:div>
        <w:div w:id="1574120567">
          <w:marLeft w:val="0"/>
          <w:marRight w:val="0"/>
          <w:marTop w:val="0"/>
          <w:marBottom w:val="0"/>
          <w:divBdr>
            <w:top w:val="none" w:sz="0" w:space="0" w:color="auto"/>
            <w:left w:val="none" w:sz="0" w:space="0" w:color="auto"/>
            <w:bottom w:val="none" w:sz="0" w:space="0" w:color="auto"/>
            <w:right w:val="none" w:sz="0" w:space="0" w:color="auto"/>
          </w:divBdr>
        </w:div>
        <w:div w:id="1795557541">
          <w:marLeft w:val="0"/>
          <w:marRight w:val="0"/>
          <w:marTop w:val="0"/>
          <w:marBottom w:val="0"/>
          <w:divBdr>
            <w:top w:val="none" w:sz="0" w:space="0" w:color="auto"/>
            <w:left w:val="none" w:sz="0" w:space="0" w:color="auto"/>
            <w:bottom w:val="none" w:sz="0" w:space="0" w:color="auto"/>
            <w:right w:val="none" w:sz="0" w:space="0" w:color="auto"/>
          </w:divBdr>
        </w:div>
        <w:div w:id="502087597">
          <w:marLeft w:val="0"/>
          <w:marRight w:val="0"/>
          <w:marTop w:val="0"/>
          <w:marBottom w:val="0"/>
          <w:divBdr>
            <w:top w:val="none" w:sz="0" w:space="0" w:color="auto"/>
            <w:left w:val="none" w:sz="0" w:space="0" w:color="auto"/>
            <w:bottom w:val="none" w:sz="0" w:space="0" w:color="auto"/>
            <w:right w:val="none" w:sz="0" w:space="0" w:color="auto"/>
          </w:divBdr>
        </w:div>
      </w:divsChild>
    </w:div>
    <w:div w:id="1958218257">
      <w:bodyDiv w:val="1"/>
      <w:marLeft w:val="0"/>
      <w:marRight w:val="0"/>
      <w:marTop w:val="0"/>
      <w:marBottom w:val="0"/>
      <w:divBdr>
        <w:top w:val="none" w:sz="0" w:space="0" w:color="auto"/>
        <w:left w:val="none" w:sz="0" w:space="0" w:color="auto"/>
        <w:bottom w:val="none" w:sz="0" w:space="0" w:color="auto"/>
        <w:right w:val="none" w:sz="0" w:space="0" w:color="auto"/>
      </w:divBdr>
      <w:divsChild>
        <w:div w:id="807630184">
          <w:marLeft w:val="0"/>
          <w:marRight w:val="0"/>
          <w:marTop w:val="0"/>
          <w:marBottom w:val="0"/>
          <w:divBdr>
            <w:top w:val="none" w:sz="0" w:space="0" w:color="auto"/>
            <w:left w:val="none" w:sz="0" w:space="0" w:color="auto"/>
            <w:bottom w:val="none" w:sz="0" w:space="0" w:color="auto"/>
            <w:right w:val="none" w:sz="0" w:space="0" w:color="auto"/>
          </w:divBdr>
        </w:div>
        <w:div w:id="1808931988">
          <w:marLeft w:val="0"/>
          <w:marRight w:val="0"/>
          <w:marTop w:val="0"/>
          <w:marBottom w:val="0"/>
          <w:divBdr>
            <w:top w:val="none" w:sz="0" w:space="0" w:color="auto"/>
            <w:left w:val="none" w:sz="0" w:space="0" w:color="auto"/>
            <w:bottom w:val="none" w:sz="0" w:space="0" w:color="auto"/>
            <w:right w:val="none" w:sz="0" w:space="0" w:color="auto"/>
          </w:divBdr>
        </w:div>
        <w:div w:id="1702633234">
          <w:marLeft w:val="0"/>
          <w:marRight w:val="0"/>
          <w:marTop w:val="0"/>
          <w:marBottom w:val="0"/>
          <w:divBdr>
            <w:top w:val="none" w:sz="0" w:space="0" w:color="auto"/>
            <w:left w:val="none" w:sz="0" w:space="0" w:color="auto"/>
            <w:bottom w:val="none" w:sz="0" w:space="0" w:color="auto"/>
            <w:right w:val="none" w:sz="0" w:space="0" w:color="auto"/>
          </w:divBdr>
        </w:div>
        <w:div w:id="2011520567">
          <w:marLeft w:val="0"/>
          <w:marRight w:val="0"/>
          <w:marTop w:val="0"/>
          <w:marBottom w:val="0"/>
          <w:divBdr>
            <w:top w:val="none" w:sz="0" w:space="0" w:color="auto"/>
            <w:left w:val="none" w:sz="0" w:space="0" w:color="auto"/>
            <w:bottom w:val="none" w:sz="0" w:space="0" w:color="auto"/>
            <w:right w:val="none" w:sz="0" w:space="0" w:color="auto"/>
          </w:divBdr>
        </w:div>
        <w:div w:id="390427172">
          <w:marLeft w:val="0"/>
          <w:marRight w:val="0"/>
          <w:marTop w:val="0"/>
          <w:marBottom w:val="0"/>
          <w:divBdr>
            <w:top w:val="none" w:sz="0" w:space="0" w:color="auto"/>
            <w:left w:val="none" w:sz="0" w:space="0" w:color="auto"/>
            <w:bottom w:val="none" w:sz="0" w:space="0" w:color="auto"/>
            <w:right w:val="none" w:sz="0" w:space="0" w:color="auto"/>
          </w:divBdr>
        </w:div>
        <w:div w:id="48922259">
          <w:marLeft w:val="0"/>
          <w:marRight w:val="0"/>
          <w:marTop w:val="0"/>
          <w:marBottom w:val="0"/>
          <w:divBdr>
            <w:top w:val="none" w:sz="0" w:space="0" w:color="auto"/>
            <w:left w:val="none" w:sz="0" w:space="0" w:color="auto"/>
            <w:bottom w:val="none" w:sz="0" w:space="0" w:color="auto"/>
            <w:right w:val="none" w:sz="0" w:space="0" w:color="auto"/>
          </w:divBdr>
        </w:div>
      </w:divsChild>
    </w:div>
    <w:div w:id="2018389148">
      <w:bodyDiv w:val="1"/>
      <w:marLeft w:val="0"/>
      <w:marRight w:val="0"/>
      <w:marTop w:val="0"/>
      <w:marBottom w:val="0"/>
      <w:divBdr>
        <w:top w:val="none" w:sz="0" w:space="0" w:color="auto"/>
        <w:left w:val="none" w:sz="0" w:space="0" w:color="auto"/>
        <w:bottom w:val="none" w:sz="0" w:space="0" w:color="auto"/>
        <w:right w:val="none" w:sz="0" w:space="0" w:color="auto"/>
      </w:divBdr>
      <w:divsChild>
        <w:div w:id="352654760">
          <w:marLeft w:val="0"/>
          <w:marRight w:val="0"/>
          <w:marTop w:val="0"/>
          <w:marBottom w:val="0"/>
          <w:divBdr>
            <w:top w:val="none" w:sz="0" w:space="0" w:color="auto"/>
            <w:left w:val="none" w:sz="0" w:space="0" w:color="auto"/>
            <w:bottom w:val="none" w:sz="0" w:space="0" w:color="auto"/>
            <w:right w:val="none" w:sz="0" w:space="0" w:color="auto"/>
          </w:divBdr>
        </w:div>
        <w:div w:id="1403865594">
          <w:marLeft w:val="0"/>
          <w:marRight w:val="0"/>
          <w:marTop w:val="0"/>
          <w:marBottom w:val="0"/>
          <w:divBdr>
            <w:top w:val="none" w:sz="0" w:space="0" w:color="auto"/>
            <w:left w:val="none" w:sz="0" w:space="0" w:color="auto"/>
            <w:bottom w:val="none" w:sz="0" w:space="0" w:color="auto"/>
            <w:right w:val="none" w:sz="0" w:space="0" w:color="auto"/>
          </w:divBdr>
        </w:div>
        <w:div w:id="739908479">
          <w:marLeft w:val="0"/>
          <w:marRight w:val="0"/>
          <w:marTop w:val="0"/>
          <w:marBottom w:val="0"/>
          <w:divBdr>
            <w:top w:val="none" w:sz="0" w:space="0" w:color="auto"/>
            <w:left w:val="none" w:sz="0" w:space="0" w:color="auto"/>
            <w:bottom w:val="none" w:sz="0" w:space="0" w:color="auto"/>
            <w:right w:val="none" w:sz="0" w:space="0" w:color="auto"/>
          </w:divBdr>
        </w:div>
        <w:div w:id="1792548799">
          <w:marLeft w:val="0"/>
          <w:marRight w:val="0"/>
          <w:marTop w:val="0"/>
          <w:marBottom w:val="0"/>
          <w:divBdr>
            <w:top w:val="none" w:sz="0" w:space="0" w:color="auto"/>
            <w:left w:val="none" w:sz="0" w:space="0" w:color="auto"/>
            <w:bottom w:val="none" w:sz="0" w:space="0" w:color="auto"/>
            <w:right w:val="none" w:sz="0" w:space="0" w:color="auto"/>
          </w:divBdr>
        </w:div>
        <w:div w:id="2091072342">
          <w:marLeft w:val="0"/>
          <w:marRight w:val="0"/>
          <w:marTop w:val="0"/>
          <w:marBottom w:val="0"/>
          <w:divBdr>
            <w:top w:val="none" w:sz="0" w:space="0" w:color="auto"/>
            <w:left w:val="none" w:sz="0" w:space="0" w:color="auto"/>
            <w:bottom w:val="none" w:sz="0" w:space="0" w:color="auto"/>
            <w:right w:val="none" w:sz="0" w:space="0" w:color="auto"/>
          </w:divBdr>
        </w:div>
        <w:div w:id="2112897428">
          <w:marLeft w:val="0"/>
          <w:marRight w:val="0"/>
          <w:marTop w:val="0"/>
          <w:marBottom w:val="0"/>
          <w:divBdr>
            <w:top w:val="none" w:sz="0" w:space="0" w:color="auto"/>
            <w:left w:val="none" w:sz="0" w:space="0" w:color="auto"/>
            <w:bottom w:val="none" w:sz="0" w:space="0" w:color="auto"/>
            <w:right w:val="none" w:sz="0" w:space="0" w:color="auto"/>
          </w:divBdr>
        </w:div>
      </w:divsChild>
    </w:div>
    <w:div w:id="2052264145">
      <w:bodyDiv w:val="1"/>
      <w:marLeft w:val="0"/>
      <w:marRight w:val="0"/>
      <w:marTop w:val="0"/>
      <w:marBottom w:val="0"/>
      <w:divBdr>
        <w:top w:val="none" w:sz="0" w:space="0" w:color="auto"/>
        <w:left w:val="none" w:sz="0" w:space="0" w:color="auto"/>
        <w:bottom w:val="none" w:sz="0" w:space="0" w:color="auto"/>
        <w:right w:val="none" w:sz="0" w:space="0" w:color="auto"/>
      </w:divBdr>
      <w:divsChild>
        <w:div w:id="1663895161">
          <w:marLeft w:val="0"/>
          <w:marRight w:val="0"/>
          <w:marTop w:val="0"/>
          <w:marBottom w:val="0"/>
          <w:divBdr>
            <w:top w:val="none" w:sz="0" w:space="0" w:color="auto"/>
            <w:left w:val="none" w:sz="0" w:space="0" w:color="auto"/>
            <w:bottom w:val="none" w:sz="0" w:space="0" w:color="auto"/>
            <w:right w:val="none" w:sz="0" w:space="0" w:color="auto"/>
          </w:divBdr>
        </w:div>
        <w:div w:id="6837576">
          <w:marLeft w:val="0"/>
          <w:marRight w:val="0"/>
          <w:marTop w:val="0"/>
          <w:marBottom w:val="0"/>
          <w:divBdr>
            <w:top w:val="none" w:sz="0" w:space="0" w:color="auto"/>
            <w:left w:val="none" w:sz="0" w:space="0" w:color="auto"/>
            <w:bottom w:val="none" w:sz="0" w:space="0" w:color="auto"/>
            <w:right w:val="none" w:sz="0" w:space="0" w:color="auto"/>
          </w:divBdr>
        </w:div>
        <w:div w:id="1079254103">
          <w:marLeft w:val="0"/>
          <w:marRight w:val="0"/>
          <w:marTop w:val="0"/>
          <w:marBottom w:val="0"/>
          <w:divBdr>
            <w:top w:val="none" w:sz="0" w:space="0" w:color="auto"/>
            <w:left w:val="none" w:sz="0" w:space="0" w:color="auto"/>
            <w:bottom w:val="none" w:sz="0" w:space="0" w:color="auto"/>
            <w:right w:val="none" w:sz="0" w:space="0" w:color="auto"/>
          </w:divBdr>
        </w:div>
        <w:div w:id="1026639272">
          <w:marLeft w:val="0"/>
          <w:marRight w:val="0"/>
          <w:marTop w:val="0"/>
          <w:marBottom w:val="0"/>
          <w:divBdr>
            <w:top w:val="none" w:sz="0" w:space="0" w:color="auto"/>
            <w:left w:val="none" w:sz="0" w:space="0" w:color="auto"/>
            <w:bottom w:val="none" w:sz="0" w:space="0" w:color="auto"/>
            <w:right w:val="none" w:sz="0" w:space="0" w:color="auto"/>
          </w:divBdr>
        </w:div>
        <w:div w:id="1650018439">
          <w:marLeft w:val="0"/>
          <w:marRight w:val="0"/>
          <w:marTop w:val="0"/>
          <w:marBottom w:val="0"/>
          <w:divBdr>
            <w:top w:val="none" w:sz="0" w:space="0" w:color="auto"/>
            <w:left w:val="none" w:sz="0" w:space="0" w:color="auto"/>
            <w:bottom w:val="none" w:sz="0" w:space="0" w:color="auto"/>
            <w:right w:val="none" w:sz="0" w:space="0" w:color="auto"/>
          </w:divBdr>
        </w:div>
        <w:div w:id="242182982">
          <w:marLeft w:val="0"/>
          <w:marRight w:val="0"/>
          <w:marTop w:val="0"/>
          <w:marBottom w:val="0"/>
          <w:divBdr>
            <w:top w:val="none" w:sz="0" w:space="0" w:color="auto"/>
            <w:left w:val="none" w:sz="0" w:space="0" w:color="auto"/>
            <w:bottom w:val="none" w:sz="0" w:space="0" w:color="auto"/>
            <w:right w:val="none" w:sz="0" w:space="0" w:color="auto"/>
          </w:divBdr>
        </w:div>
      </w:divsChild>
    </w:div>
    <w:div w:id="2062055614">
      <w:bodyDiv w:val="1"/>
      <w:marLeft w:val="0"/>
      <w:marRight w:val="0"/>
      <w:marTop w:val="0"/>
      <w:marBottom w:val="0"/>
      <w:divBdr>
        <w:top w:val="none" w:sz="0" w:space="0" w:color="auto"/>
        <w:left w:val="none" w:sz="0" w:space="0" w:color="auto"/>
        <w:bottom w:val="none" w:sz="0" w:space="0" w:color="auto"/>
        <w:right w:val="none" w:sz="0" w:space="0" w:color="auto"/>
      </w:divBdr>
      <w:divsChild>
        <w:div w:id="1768886309">
          <w:marLeft w:val="0"/>
          <w:marRight w:val="0"/>
          <w:marTop w:val="0"/>
          <w:marBottom w:val="0"/>
          <w:divBdr>
            <w:top w:val="none" w:sz="0" w:space="0" w:color="auto"/>
            <w:left w:val="none" w:sz="0" w:space="0" w:color="auto"/>
            <w:bottom w:val="none" w:sz="0" w:space="0" w:color="auto"/>
            <w:right w:val="none" w:sz="0" w:space="0" w:color="auto"/>
          </w:divBdr>
        </w:div>
        <w:div w:id="1928998599">
          <w:marLeft w:val="0"/>
          <w:marRight w:val="0"/>
          <w:marTop w:val="0"/>
          <w:marBottom w:val="0"/>
          <w:divBdr>
            <w:top w:val="none" w:sz="0" w:space="0" w:color="auto"/>
            <w:left w:val="none" w:sz="0" w:space="0" w:color="auto"/>
            <w:bottom w:val="none" w:sz="0" w:space="0" w:color="auto"/>
            <w:right w:val="none" w:sz="0" w:space="0" w:color="auto"/>
          </w:divBdr>
        </w:div>
        <w:div w:id="641890947">
          <w:marLeft w:val="0"/>
          <w:marRight w:val="0"/>
          <w:marTop w:val="0"/>
          <w:marBottom w:val="0"/>
          <w:divBdr>
            <w:top w:val="none" w:sz="0" w:space="0" w:color="auto"/>
            <w:left w:val="none" w:sz="0" w:space="0" w:color="auto"/>
            <w:bottom w:val="none" w:sz="0" w:space="0" w:color="auto"/>
            <w:right w:val="none" w:sz="0" w:space="0" w:color="auto"/>
          </w:divBdr>
        </w:div>
        <w:div w:id="228853264">
          <w:marLeft w:val="0"/>
          <w:marRight w:val="0"/>
          <w:marTop w:val="0"/>
          <w:marBottom w:val="0"/>
          <w:divBdr>
            <w:top w:val="none" w:sz="0" w:space="0" w:color="auto"/>
            <w:left w:val="none" w:sz="0" w:space="0" w:color="auto"/>
            <w:bottom w:val="none" w:sz="0" w:space="0" w:color="auto"/>
            <w:right w:val="none" w:sz="0" w:space="0" w:color="auto"/>
          </w:divBdr>
        </w:div>
        <w:div w:id="68887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bvsms.saude.gov.br/bvs/publicacoes/capacitacao_monitoramento_diarreicas_treinando.pd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9</Pages>
  <Words>2445</Words>
  <Characters>13203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Cliente</cp:lastModifiedBy>
  <cp:revision>20</cp:revision>
  <dcterms:created xsi:type="dcterms:W3CDTF">2021-05-16T11:42:00Z</dcterms:created>
  <dcterms:modified xsi:type="dcterms:W3CDTF">2021-06-09T21:18:00Z</dcterms:modified>
</cp:coreProperties>
</file>