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68EE8" w14:textId="2DD60468" w:rsidR="000B20EA" w:rsidRPr="000B20EA" w:rsidRDefault="000B20EA" w:rsidP="00886F8C">
      <w:pPr>
        <w:spacing w:before="12" w:after="12" w:line="240" w:lineRule="auto"/>
        <w:jc w:val="both"/>
        <w:rPr>
          <w:rFonts w:ascii="Times New Roman" w:eastAsia="Times New Roman" w:hAnsi="Times New Roman" w:cs="Times New Roman"/>
          <w:b/>
          <w:bCs/>
          <w:sz w:val="24"/>
          <w:szCs w:val="24"/>
          <w:lang w:eastAsia="pt-BR"/>
        </w:rPr>
      </w:pPr>
      <w:r w:rsidRPr="000B20EA">
        <w:rPr>
          <w:rFonts w:ascii="Times New Roman" w:eastAsia="Times New Roman" w:hAnsi="Times New Roman" w:cs="Times New Roman"/>
          <w:b/>
          <w:bCs/>
          <w:sz w:val="24"/>
          <w:szCs w:val="24"/>
          <w:lang w:eastAsia="pt-BR"/>
        </w:rPr>
        <w:t>O QUE É UMA DISTRIBUIÇÃO DE PROBABILIDADE</w:t>
      </w:r>
    </w:p>
    <w:p w14:paraId="7B3A79A2" w14:textId="77777777" w:rsidR="000B20EA" w:rsidRPr="000B20EA" w:rsidRDefault="000B20EA" w:rsidP="000B20EA">
      <w:pPr>
        <w:pStyle w:val="NormalWeb"/>
        <w:rPr>
          <w:rFonts w:ascii="Arial" w:hAnsi="Arial" w:cs="Arial"/>
        </w:rPr>
      </w:pPr>
      <w:r w:rsidRPr="000B20EA">
        <w:rPr>
          <w:rFonts w:ascii="Arial" w:hAnsi="Arial" w:cs="Arial"/>
        </w:rPr>
        <w:t>Exemplo prático de uma distribuição de probabilidade:</w:t>
      </w:r>
    </w:p>
    <w:p w14:paraId="0D594234" w14:textId="77777777" w:rsidR="000B20EA" w:rsidRPr="000B20EA" w:rsidRDefault="000B20EA" w:rsidP="000B20EA">
      <w:pPr>
        <w:pStyle w:val="NormalWeb"/>
        <w:rPr>
          <w:rFonts w:ascii="Arial" w:hAnsi="Arial" w:cs="Arial"/>
        </w:rPr>
      </w:pPr>
      <w:r w:rsidRPr="000B20EA">
        <w:rPr>
          <w:rFonts w:ascii="Arial" w:hAnsi="Arial" w:cs="Arial"/>
        </w:rPr>
        <w:t xml:space="preserve">Consideremos a distribuição de </w:t>
      </w:r>
      <w:proofErr w:type="spellStart"/>
      <w:r w:rsidRPr="000B20EA">
        <w:rPr>
          <w:rFonts w:ascii="Arial" w:hAnsi="Arial" w:cs="Arial"/>
        </w:rPr>
        <w:t>freqüências</w:t>
      </w:r>
      <w:proofErr w:type="spellEnd"/>
      <w:r w:rsidRPr="000B20EA">
        <w:rPr>
          <w:rFonts w:ascii="Arial" w:hAnsi="Arial" w:cs="Arial"/>
        </w:rPr>
        <w:t xml:space="preserve"> relativa ao número de acidentes diários na Rodovia do SOL durante o mês de </w:t>
      </w:r>
      <w:proofErr w:type="spellStart"/>
      <w:r w:rsidRPr="000B20EA">
        <w:rPr>
          <w:rFonts w:ascii="Arial" w:hAnsi="Arial" w:cs="Arial"/>
        </w:rPr>
        <w:t>nov</w:t>
      </w:r>
      <w:proofErr w:type="spellEnd"/>
      <w:r w:rsidRPr="000B20EA">
        <w:rPr>
          <w:rFonts w:ascii="Arial" w:hAnsi="Arial" w:cs="Arial"/>
        </w:rPr>
        <w:t>/97:</w:t>
      </w:r>
    </w:p>
    <w:tbl>
      <w:tblPr>
        <w:tblStyle w:val="TabelaSimples1"/>
        <w:tblW w:w="0" w:type="auto"/>
        <w:tblLook w:val="0000" w:firstRow="0" w:lastRow="0" w:firstColumn="0" w:lastColumn="0" w:noHBand="0" w:noVBand="0"/>
      </w:tblPr>
      <w:tblGrid>
        <w:gridCol w:w="2591"/>
        <w:gridCol w:w="1551"/>
      </w:tblGrid>
      <w:tr w:rsidR="000B20EA" w:rsidRPr="000B20EA" w14:paraId="74187263"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44D6C3B" w14:textId="77777777" w:rsidR="000B20EA" w:rsidRPr="000B20EA" w:rsidRDefault="000B20EA" w:rsidP="00654F4E">
            <w:pPr>
              <w:rPr>
                <w:rFonts w:ascii="Arial" w:eastAsia="Arial Unicode MS" w:hAnsi="Arial" w:cs="Arial"/>
                <w:color w:val="000000"/>
                <w:sz w:val="24"/>
                <w:szCs w:val="24"/>
              </w:rPr>
            </w:pPr>
            <w:r w:rsidRPr="000B20EA">
              <w:rPr>
                <w:rFonts w:ascii="Arial" w:hAnsi="Arial" w:cs="Arial"/>
                <w:sz w:val="24"/>
                <w:szCs w:val="24"/>
              </w:rPr>
              <w:t xml:space="preserve"> Número de Acidentes </w:t>
            </w:r>
          </w:p>
        </w:tc>
        <w:tc>
          <w:tcPr>
            <w:tcW w:w="0" w:type="auto"/>
          </w:tcPr>
          <w:p w14:paraId="193DD4C6" w14:textId="77777777" w:rsidR="000B20EA" w:rsidRPr="000B20EA" w:rsidRDefault="000B20EA" w:rsidP="00654F4E">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 Frequência </w:t>
            </w:r>
          </w:p>
        </w:tc>
      </w:tr>
      <w:tr w:rsidR="000B20EA" w:rsidRPr="000B20EA" w14:paraId="0AACD4EE" w14:textId="77777777" w:rsidTr="000B20EA">
        <w:tc>
          <w:tcPr>
            <w:cnfStyle w:val="000010000000" w:firstRow="0" w:lastRow="0" w:firstColumn="0" w:lastColumn="0" w:oddVBand="1" w:evenVBand="0" w:oddHBand="0" w:evenHBand="0" w:firstRowFirstColumn="0" w:firstRowLastColumn="0" w:lastRowFirstColumn="0" w:lastRowLastColumn="0"/>
            <w:tcW w:w="0" w:type="auto"/>
          </w:tcPr>
          <w:p w14:paraId="68E94496"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0</w:t>
            </w:r>
          </w:p>
        </w:tc>
        <w:tc>
          <w:tcPr>
            <w:tcW w:w="0" w:type="auto"/>
          </w:tcPr>
          <w:p w14:paraId="57F91BD0" w14:textId="77777777" w:rsidR="000B20EA" w:rsidRPr="000B20EA" w:rsidRDefault="000B20EA" w:rsidP="00654F4E">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22</w:t>
            </w:r>
          </w:p>
        </w:tc>
      </w:tr>
      <w:tr w:rsidR="000B20EA" w:rsidRPr="000B20EA" w14:paraId="0D790B09"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3716430"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1</w:t>
            </w:r>
          </w:p>
        </w:tc>
        <w:tc>
          <w:tcPr>
            <w:tcW w:w="0" w:type="auto"/>
          </w:tcPr>
          <w:p w14:paraId="501D41FB" w14:textId="77777777" w:rsidR="000B20EA" w:rsidRPr="000B20EA" w:rsidRDefault="000B20EA" w:rsidP="00654F4E">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5</w:t>
            </w:r>
          </w:p>
        </w:tc>
      </w:tr>
      <w:tr w:rsidR="000B20EA" w:rsidRPr="000B20EA" w14:paraId="6E5BB775" w14:textId="77777777" w:rsidTr="000B20EA">
        <w:tc>
          <w:tcPr>
            <w:cnfStyle w:val="000010000000" w:firstRow="0" w:lastRow="0" w:firstColumn="0" w:lastColumn="0" w:oddVBand="1" w:evenVBand="0" w:oddHBand="0" w:evenHBand="0" w:firstRowFirstColumn="0" w:firstRowLastColumn="0" w:lastRowFirstColumn="0" w:lastRowLastColumn="0"/>
            <w:tcW w:w="0" w:type="auto"/>
          </w:tcPr>
          <w:p w14:paraId="77A90B5E"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2</w:t>
            </w:r>
          </w:p>
        </w:tc>
        <w:tc>
          <w:tcPr>
            <w:tcW w:w="0" w:type="auto"/>
          </w:tcPr>
          <w:p w14:paraId="2B2610B5" w14:textId="77777777" w:rsidR="000B20EA" w:rsidRPr="000B20EA" w:rsidRDefault="000B20EA" w:rsidP="00654F4E">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2</w:t>
            </w:r>
          </w:p>
        </w:tc>
      </w:tr>
      <w:tr w:rsidR="000B20EA" w:rsidRPr="000B20EA" w14:paraId="5D9B1A7F"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F99FD30"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3</w:t>
            </w:r>
          </w:p>
        </w:tc>
        <w:tc>
          <w:tcPr>
            <w:tcW w:w="0" w:type="auto"/>
          </w:tcPr>
          <w:p w14:paraId="6192F3AD" w14:textId="77777777" w:rsidR="000B20EA" w:rsidRPr="000B20EA" w:rsidRDefault="000B20EA" w:rsidP="00654F4E">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1</w:t>
            </w:r>
          </w:p>
        </w:tc>
      </w:tr>
    </w:tbl>
    <w:p w14:paraId="1D05F75E" w14:textId="649A7540" w:rsidR="000B20EA" w:rsidRPr="000B20EA" w:rsidRDefault="000B20EA" w:rsidP="000B20EA">
      <w:pPr>
        <w:pStyle w:val="NormalWeb"/>
        <w:rPr>
          <w:rFonts w:ascii="Arial" w:hAnsi="Arial" w:cs="Arial"/>
        </w:rPr>
      </w:pPr>
      <w:r w:rsidRPr="000B20EA">
        <w:rPr>
          <w:rFonts w:ascii="Arial" w:hAnsi="Arial" w:cs="Arial"/>
        </w:rPr>
        <w:t> Podemos então escrever a tabela de distribuição de probabilidade:</w:t>
      </w:r>
    </w:p>
    <w:tbl>
      <w:tblPr>
        <w:tblStyle w:val="TabelaSimples1"/>
        <w:tblW w:w="0" w:type="auto"/>
        <w:tblLook w:val="0000" w:firstRow="0" w:lastRow="0" w:firstColumn="0" w:lastColumn="0" w:noHBand="0" w:noVBand="0"/>
      </w:tblPr>
      <w:tblGrid>
        <w:gridCol w:w="2911"/>
        <w:gridCol w:w="2071"/>
      </w:tblGrid>
      <w:tr w:rsidR="000B20EA" w:rsidRPr="000B20EA" w14:paraId="3DE391F2"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8EF92B7" w14:textId="77777777" w:rsidR="000B20EA" w:rsidRPr="000B20EA" w:rsidRDefault="000B20EA" w:rsidP="00654F4E">
            <w:pPr>
              <w:rPr>
                <w:rFonts w:ascii="Arial" w:eastAsia="Arial Unicode MS" w:hAnsi="Arial" w:cs="Arial"/>
                <w:color w:val="000000"/>
                <w:sz w:val="24"/>
                <w:szCs w:val="24"/>
              </w:rPr>
            </w:pPr>
            <w:r w:rsidRPr="000B20EA">
              <w:rPr>
                <w:rFonts w:ascii="Arial" w:hAnsi="Arial" w:cs="Arial"/>
                <w:sz w:val="24"/>
                <w:szCs w:val="24"/>
              </w:rPr>
              <w:t xml:space="preserve">Número de Acidentes (X) </w:t>
            </w:r>
          </w:p>
        </w:tc>
        <w:tc>
          <w:tcPr>
            <w:tcW w:w="0" w:type="auto"/>
          </w:tcPr>
          <w:p w14:paraId="69DC277B" w14:textId="77777777" w:rsidR="000B20EA" w:rsidRPr="000B20EA" w:rsidRDefault="000B20EA" w:rsidP="00654F4E">
            <w:pP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 xml:space="preserve">Probabilidade (X) </w:t>
            </w:r>
          </w:p>
        </w:tc>
      </w:tr>
      <w:tr w:rsidR="000B20EA" w:rsidRPr="000B20EA" w14:paraId="78585F8A" w14:textId="77777777" w:rsidTr="000B20EA">
        <w:tc>
          <w:tcPr>
            <w:cnfStyle w:val="000010000000" w:firstRow="0" w:lastRow="0" w:firstColumn="0" w:lastColumn="0" w:oddVBand="1" w:evenVBand="0" w:oddHBand="0" w:evenHBand="0" w:firstRowFirstColumn="0" w:firstRowLastColumn="0" w:lastRowFirstColumn="0" w:lastRowLastColumn="0"/>
            <w:tcW w:w="0" w:type="auto"/>
          </w:tcPr>
          <w:p w14:paraId="5E62B8D8"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0</w:t>
            </w:r>
          </w:p>
        </w:tc>
        <w:tc>
          <w:tcPr>
            <w:tcW w:w="0" w:type="auto"/>
          </w:tcPr>
          <w:p w14:paraId="0C5A1EB3" w14:textId="77777777" w:rsidR="000B20EA" w:rsidRPr="000B20EA" w:rsidRDefault="000B20EA" w:rsidP="00654F4E">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0,73</w:t>
            </w:r>
          </w:p>
        </w:tc>
      </w:tr>
      <w:tr w:rsidR="000B20EA" w:rsidRPr="000B20EA" w14:paraId="046FCEFE"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15618E8"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1</w:t>
            </w:r>
          </w:p>
        </w:tc>
        <w:tc>
          <w:tcPr>
            <w:tcW w:w="0" w:type="auto"/>
          </w:tcPr>
          <w:p w14:paraId="0F066C27" w14:textId="77777777" w:rsidR="000B20EA" w:rsidRPr="000B20EA" w:rsidRDefault="000B20EA" w:rsidP="00654F4E">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0,17</w:t>
            </w:r>
          </w:p>
        </w:tc>
      </w:tr>
      <w:tr w:rsidR="000B20EA" w:rsidRPr="000B20EA" w14:paraId="4C8ABDB2" w14:textId="77777777" w:rsidTr="000B20EA">
        <w:tc>
          <w:tcPr>
            <w:cnfStyle w:val="000010000000" w:firstRow="0" w:lastRow="0" w:firstColumn="0" w:lastColumn="0" w:oddVBand="1" w:evenVBand="0" w:oddHBand="0" w:evenHBand="0" w:firstRowFirstColumn="0" w:firstRowLastColumn="0" w:lastRowFirstColumn="0" w:lastRowLastColumn="0"/>
            <w:tcW w:w="0" w:type="auto"/>
          </w:tcPr>
          <w:p w14:paraId="506489F0"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2</w:t>
            </w:r>
          </w:p>
        </w:tc>
        <w:tc>
          <w:tcPr>
            <w:tcW w:w="0" w:type="auto"/>
          </w:tcPr>
          <w:p w14:paraId="3C0CA7B6" w14:textId="77777777" w:rsidR="000B20EA" w:rsidRPr="000B20EA" w:rsidRDefault="000B20EA" w:rsidP="00654F4E">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0,07</w:t>
            </w:r>
          </w:p>
        </w:tc>
      </w:tr>
      <w:tr w:rsidR="000B20EA" w:rsidRPr="000B20EA" w14:paraId="3F9E267F" w14:textId="77777777" w:rsidTr="000B20E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19C2192"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3</w:t>
            </w:r>
          </w:p>
        </w:tc>
        <w:tc>
          <w:tcPr>
            <w:tcW w:w="0" w:type="auto"/>
          </w:tcPr>
          <w:p w14:paraId="5DC09197" w14:textId="77777777" w:rsidR="000B20EA" w:rsidRPr="000B20EA" w:rsidRDefault="000B20EA" w:rsidP="00654F4E">
            <w:pPr>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0,03</w:t>
            </w:r>
          </w:p>
        </w:tc>
      </w:tr>
      <w:tr w:rsidR="000B20EA" w:rsidRPr="000B20EA" w14:paraId="664D581A" w14:textId="77777777" w:rsidTr="000B20EA">
        <w:tc>
          <w:tcPr>
            <w:cnfStyle w:val="000010000000" w:firstRow="0" w:lastRow="0" w:firstColumn="0" w:lastColumn="0" w:oddVBand="1" w:evenVBand="0" w:oddHBand="0" w:evenHBand="0" w:firstRowFirstColumn="0" w:firstRowLastColumn="0" w:lastRowFirstColumn="0" w:lastRowLastColumn="0"/>
            <w:tcW w:w="0" w:type="auto"/>
          </w:tcPr>
          <w:p w14:paraId="3137B6DF" w14:textId="77777777" w:rsidR="000B20EA" w:rsidRPr="000B20EA" w:rsidRDefault="000B20EA" w:rsidP="00654F4E">
            <w:pPr>
              <w:jc w:val="center"/>
              <w:rPr>
                <w:rFonts w:ascii="Arial" w:eastAsia="Arial Unicode MS" w:hAnsi="Arial" w:cs="Arial"/>
                <w:color w:val="000000"/>
                <w:sz w:val="24"/>
                <w:szCs w:val="24"/>
              </w:rPr>
            </w:pPr>
            <w:r w:rsidRPr="000B20EA">
              <w:rPr>
                <w:rFonts w:ascii="Arial" w:hAnsi="Arial" w:cs="Arial"/>
                <w:sz w:val="24"/>
                <w:szCs w:val="24"/>
              </w:rPr>
              <w:t>Total</w:t>
            </w:r>
          </w:p>
        </w:tc>
        <w:tc>
          <w:tcPr>
            <w:tcW w:w="0" w:type="auto"/>
          </w:tcPr>
          <w:p w14:paraId="416F4F98" w14:textId="77777777" w:rsidR="000B20EA" w:rsidRPr="000B20EA" w:rsidRDefault="000B20EA" w:rsidP="00654F4E">
            <w:pPr>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color w:val="000000"/>
                <w:sz w:val="24"/>
                <w:szCs w:val="24"/>
              </w:rPr>
            </w:pPr>
            <w:r w:rsidRPr="000B20EA">
              <w:rPr>
                <w:rFonts w:ascii="Arial" w:hAnsi="Arial" w:cs="Arial"/>
                <w:sz w:val="24"/>
                <w:szCs w:val="24"/>
              </w:rPr>
              <w:t>1,00</w:t>
            </w:r>
          </w:p>
        </w:tc>
      </w:tr>
    </w:tbl>
    <w:p w14:paraId="4039CE23" w14:textId="77777777" w:rsidR="000B20EA" w:rsidRPr="000B20EA" w:rsidRDefault="000B20EA" w:rsidP="000B20EA">
      <w:pPr>
        <w:pStyle w:val="NormalWeb"/>
        <w:rPr>
          <w:rFonts w:ascii="Arial" w:hAnsi="Arial" w:cs="Arial"/>
        </w:rPr>
      </w:pPr>
      <w:r w:rsidRPr="000B20EA">
        <w:rPr>
          <w:rFonts w:ascii="Arial" w:hAnsi="Arial" w:cs="Arial"/>
        </w:rPr>
        <w:t> </w:t>
      </w:r>
    </w:p>
    <w:p w14:paraId="435CA6E4" w14:textId="77777777" w:rsidR="000B20EA" w:rsidRDefault="000B20EA" w:rsidP="00886F8C">
      <w:pPr>
        <w:spacing w:before="12" w:after="12" w:line="240" w:lineRule="auto"/>
        <w:jc w:val="both"/>
        <w:rPr>
          <w:rFonts w:ascii="Times New Roman" w:eastAsia="Times New Roman" w:hAnsi="Times New Roman" w:cs="Times New Roman"/>
          <w:sz w:val="24"/>
          <w:szCs w:val="24"/>
          <w:lang w:eastAsia="pt-BR"/>
        </w:rPr>
      </w:pPr>
    </w:p>
    <w:p w14:paraId="1C893FFE" w14:textId="3F14DED4" w:rsidR="000B20EA" w:rsidRPr="000B20EA" w:rsidRDefault="000B20EA" w:rsidP="00886F8C">
      <w:pPr>
        <w:spacing w:before="12" w:after="12" w:line="240" w:lineRule="auto"/>
        <w:jc w:val="both"/>
        <w:rPr>
          <w:rFonts w:ascii="Arial" w:eastAsia="Times New Roman" w:hAnsi="Arial" w:cs="Arial"/>
          <w:b/>
          <w:bCs/>
          <w:sz w:val="24"/>
          <w:szCs w:val="24"/>
          <w:lang w:eastAsia="pt-BR"/>
        </w:rPr>
      </w:pPr>
      <w:r w:rsidRPr="000B20EA">
        <w:rPr>
          <w:rFonts w:ascii="Arial" w:eastAsia="Times New Roman" w:hAnsi="Arial" w:cs="Arial"/>
          <w:b/>
          <w:bCs/>
          <w:sz w:val="24"/>
          <w:szCs w:val="24"/>
          <w:lang w:eastAsia="pt-BR"/>
        </w:rPr>
        <w:t>DISTRIBUIÇÃO NORMAL DE PROBABILIDADE</w:t>
      </w:r>
    </w:p>
    <w:p w14:paraId="4133CC89" w14:textId="77777777" w:rsidR="000B20EA" w:rsidRDefault="000B20EA" w:rsidP="00886F8C">
      <w:pPr>
        <w:spacing w:before="12" w:after="12" w:line="240" w:lineRule="auto"/>
        <w:jc w:val="both"/>
        <w:rPr>
          <w:rFonts w:ascii="Times New Roman" w:eastAsia="Times New Roman" w:hAnsi="Times New Roman" w:cs="Times New Roman"/>
          <w:sz w:val="24"/>
          <w:szCs w:val="24"/>
          <w:lang w:eastAsia="pt-BR"/>
        </w:rPr>
      </w:pPr>
    </w:p>
    <w:p w14:paraId="232841D4" w14:textId="5868A2A1"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Embora haja muitas curvas Normais (com diferentes valores de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todas têm propriedades em comum. Em particular, todas as distribuições Normais obedecem à seguinte regra.</w:t>
      </w:r>
    </w:p>
    <w:p w14:paraId="5A722872" w14:textId="77777777" w:rsidR="00886F8C" w:rsidRPr="00886F8C" w:rsidRDefault="00886F8C" w:rsidP="00886F8C">
      <w:pPr>
        <w:pBdr>
          <w:bottom w:val="single" w:sz="6" w:space="0" w:color="000000"/>
        </w:pBdr>
        <w:shd w:val="clear" w:color="auto" w:fill="E7E7E8"/>
        <w:spacing w:after="120" w:line="240" w:lineRule="auto"/>
        <w:outlineLvl w:val="3"/>
        <w:rPr>
          <w:rFonts w:ascii="Arial" w:eastAsia="Times New Roman" w:hAnsi="Arial" w:cs="Arial"/>
          <w:b/>
          <w:bCs/>
          <w:sz w:val="24"/>
          <w:szCs w:val="24"/>
          <w:lang w:eastAsia="pt-BR"/>
        </w:rPr>
      </w:pPr>
      <w:r w:rsidRPr="00886F8C">
        <w:rPr>
          <w:rFonts w:ascii="Arial" w:eastAsia="Times New Roman" w:hAnsi="Arial" w:cs="Arial"/>
          <w:b/>
          <w:bCs/>
          <w:sz w:val="24"/>
          <w:szCs w:val="24"/>
          <w:lang w:eastAsia="pt-BR"/>
        </w:rPr>
        <w:t>A REGRA 68–95–99,7</w:t>
      </w:r>
    </w:p>
    <w:p w14:paraId="688693B9" w14:textId="77777777" w:rsidR="00886F8C" w:rsidRPr="00886F8C" w:rsidRDefault="00886F8C" w:rsidP="00886F8C">
      <w:pPr>
        <w:shd w:val="clear" w:color="auto" w:fill="E7E7E8"/>
        <w:spacing w:before="12" w:after="12" w:line="240" w:lineRule="auto"/>
        <w:jc w:val="both"/>
        <w:rPr>
          <w:rFonts w:ascii="Arial" w:eastAsia="Times New Roman" w:hAnsi="Arial" w:cs="Arial"/>
          <w:sz w:val="24"/>
          <w:szCs w:val="24"/>
          <w:lang w:eastAsia="pt-BR"/>
        </w:rPr>
      </w:pPr>
      <w:r w:rsidRPr="00886F8C">
        <w:rPr>
          <w:rFonts w:ascii="Arial" w:eastAsia="Times New Roman" w:hAnsi="Arial" w:cs="Arial"/>
          <w:sz w:val="24"/>
          <w:szCs w:val="24"/>
          <w:lang w:eastAsia="pt-BR"/>
        </w:rPr>
        <w:t>Na distribuição Normal com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 e desvio-padrão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w:t>
      </w:r>
    </w:p>
    <w:p w14:paraId="0DDE1925"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68%</w:t>
      </w:r>
      <w:r w:rsidRPr="00886F8C">
        <w:rPr>
          <w:rFonts w:ascii="Arial" w:eastAsia="Times New Roman" w:hAnsi="Arial" w:cs="Arial"/>
          <w:sz w:val="24"/>
          <w:szCs w:val="24"/>
          <w:lang w:eastAsia="pt-BR"/>
        </w:rPr>
        <w:t> das observações estão a menos de </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1C775A5D"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95%</w:t>
      </w:r>
      <w:r w:rsidRPr="00886F8C">
        <w:rPr>
          <w:rFonts w:ascii="Arial" w:eastAsia="Times New Roman" w:hAnsi="Arial" w:cs="Arial"/>
          <w:sz w:val="24"/>
          <w:szCs w:val="24"/>
          <w:lang w:eastAsia="pt-BR"/>
        </w:rPr>
        <w:t> das observações estão a menos de 2</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29D264EC" w14:textId="77777777" w:rsidR="00886F8C" w:rsidRPr="00886F8C" w:rsidRDefault="00886F8C" w:rsidP="00886F8C">
      <w:pPr>
        <w:shd w:val="clear" w:color="auto" w:fill="E7E7E8"/>
        <w:spacing w:line="240" w:lineRule="auto"/>
        <w:ind w:left="360"/>
        <w:jc w:val="both"/>
        <w:rPr>
          <w:rFonts w:ascii="Arial" w:eastAsia="Times New Roman" w:hAnsi="Arial" w:cs="Arial"/>
          <w:sz w:val="24"/>
          <w:szCs w:val="24"/>
          <w:lang w:eastAsia="pt-BR"/>
        </w:rPr>
      </w:pPr>
      <w:r w:rsidRPr="00161A9A">
        <w:rPr>
          <w:rFonts w:ascii="Arial" w:eastAsia="Times New Roman" w:hAnsi="Arial" w:cs="Arial"/>
          <w:b/>
          <w:bCs/>
          <w:sz w:val="24"/>
          <w:szCs w:val="24"/>
          <w:lang w:eastAsia="pt-BR"/>
        </w:rPr>
        <w:t>■</w:t>
      </w:r>
      <w:r w:rsidRPr="00886F8C">
        <w:rPr>
          <w:rFonts w:ascii="Arial" w:eastAsia="Times New Roman" w:hAnsi="Arial" w:cs="Arial"/>
          <w:sz w:val="24"/>
          <w:szCs w:val="24"/>
          <w:lang w:eastAsia="pt-BR"/>
        </w:rPr>
        <w:t>Aproximadamente </w:t>
      </w:r>
      <w:r w:rsidRPr="00161A9A">
        <w:rPr>
          <w:rFonts w:ascii="Arial" w:eastAsia="Times New Roman" w:hAnsi="Arial" w:cs="Arial"/>
          <w:b/>
          <w:bCs/>
          <w:sz w:val="24"/>
          <w:szCs w:val="24"/>
          <w:lang w:eastAsia="pt-BR"/>
        </w:rPr>
        <w:t>99,7%</w:t>
      </w:r>
      <w:r w:rsidRPr="00886F8C">
        <w:rPr>
          <w:rFonts w:ascii="Arial" w:eastAsia="Times New Roman" w:hAnsi="Arial" w:cs="Arial"/>
          <w:sz w:val="24"/>
          <w:szCs w:val="24"/>
          <w:lang w:eastAsia="pt-BR"/>
        </w:rPr>
        <w:t> das observações estão a menos de 3</w:t>
      </w:r>
      <w:r w:rsidRPr="00161A9A">
        <w:rPr>
          <w:rFonts w:ascii="Arial" w:eastAsia="Times New Roman" w:hAnsi="Arial" w:cs="Arial"/>
          <w:i/>
          <w:iCs/>
          <w:sz w:val="24"/>
          <w:szCs w:val="24"/>
          <w:lang w:eastAsia="pt-BR"/>
        </w:rPr>
        <w:t>σ</w:t>
      </w:r>
      <w:r w:rsidRPr="00886F8C">
        <w:rPr>
          <w:rFonts w:ascii="Arial" w:eastAsia="Times New Roman" w:hAnsi="Arial" w:cs="Arial"/>
          <w:sz w:val="24"/>
          <w:szCs w:val="24"/>
          <w:lang w:eastAsia="pt-BR"/>
        </w:rPr>
        <w:t> da média </w:t>
      </w:r>
      <w:r w:rsidRPr="00161A9A">
        <w:rPr>
          <w:rFonts w:ascii="Arial" w:eastAsia="Times New Roman" w:hAnsi="Arial" w:cs="Arial"/>
          <w:i/>
          <w:iCs/>
          <w:sz w:val="24"/>
          <w:szCs w:val="24"/>
          <w:lang w:eastAsia="pt-BR"/>
        </w:rPr>
        <w:t>µ</w:t>
      </w:r>
      <w:r w:rsidRPr="00886F8C">
        <w:rPr>
          <w:rFonts w:ascii="Arial" w:eastAsia="Times New Roman" w:hAnsi="Arial" w:cs="Arial"/>
          <w:sz w:val="24"/>
          <w:szCs w:val="24"/>
          <w:lang w:eastAsia="pt-BR"/>
        </w:rPr>
        <w:t>.</w:t>
      </w:r>
    </w:p>
    <w:p w14:paraId="077681FD" w14:textId="77777777" w:rsidR="00886F8C" w:rsidRPr="00161A9A"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w:t>
      </w:r>
      <w:hyperlink r:id="rId5" w:anchor="ch11fig2" w:history="1">
        <w:r w:rsidRPr="00161A9A">
          <w:rPr>
            <w:rFonts w:ascii="Times New Roman" w:eastAsia="Times New Roman" w:hAnsi="Times New Roman" w:cs="Times New Roman"/>
            <w:sz w:val="24"/>
            <w:szCs w:val="24"/>
            <w:u w:val="single"/>
            <w:lang w:eastAsia="pt-BR"/>
          </w:rPr>
          <w:t>Figura 11.2</w:t>
        </w:r>
      </w:hyperlink>
      <w:r w:rsidRPr="00886F8C">
        <w:rPr>
          <w:rFonts w:ascii="Times New Roman" w:eastAsia="Times New Roman" w:hAnsi="Times New Roman" w:cs="Times New Roman"/>
          <w:sz w:val="24"/>
          <w:szCs w:val="24"/>
          <w:lang w:eastAsia="pt-BR"/>
        </w:rPr>
        <w:t> ilustra a regra 68–95–99,7. Lembrando-se destes três números, é possível pensar sobre distribuições Normais sem a necessidade de constantes e detalhados cálculos.</w:t>
      </w:r>
    </w:p>
    <w:p w14:paraId="686568A0"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drawing>
          <wp:inline distT="0" distB="0" distL="0" distR="0" wp14:anchorId="3134FC71" wp14:editId="58C538CA">
            <wp:extent cx="3590925" cy="273367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3590925" cy="2733675"/>
                    </a:xfrm>
                    <a:prstGeom prst="rect">
                      <a:avLst/>
                    </a:prstGeom>
                    <a:noFill/>
                    <a:ln w="9525">
                      <a:noFill/>
                      <a:miter lim="800000"/>
                      <a:headEnd/>
                      <a:tailEnd/>
                    </a:ln>
                  </pic:spPr>
                </pic:pic>
              </a:graphicData>
            </a:graphic>
          </wp:inline>
        </w:drawing>
      </w:r>
    </w:p>
    <w:p w14:paraId="156BB84A" w14:textId="77777777" w:rsidR="00886F8C" w:rsidRPr="00886F8C" w:rsidRDefault="00886F8C" w:rsidP="00886F8C">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11.2</w:t>
      </w:r>
      <w:r w:rsidRPr="00886F8C">
        <w:rPr>
          <w:rFonts w:ascii="Times New Roman" w:eastAsia="Times New Roman" w:hAnsi="Times New Roman" w:cs="Times New Roman"/>
          <w:sz w:val="24"/>
          <w:szCs w:val="24"/>
          <w:lang w:eastAsia="pt-BR"/>
        </w:rPr>
        <w:t> A regra 68–95–99,7 para distribuições Normais.</w:t>
      </w:r>
    </w:p>
    <w:p w14:paraId="6089B384"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lastRenderedPageBreak/>
        <w:t>EXEMPLO 11.1</w:t>
      </w:r>
      <w:r w:rsidRPr="00886F8C">
        <w:rPr>
          <w:rFonts w:ascii="Arial" w:eastAsia="Times New Roman" w:hAnsi="Arial" w:cs="Arial"/>
          <w:b/>
          <w:bCs/>
          <w:sz w:val="24"/>
          <w:szCs w:val="24"/>
          <w:lang w:eastAsia="pt-BR"/>
        </w:rPr>
        <w:t>Alturas de mulheres jovens</w:t>
      </w:r>
    </w:p>
    <w:p w14:paraId="1DB8B77B"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distribuição das alturas de mulheres jovens, com idades entre 18 e 24 anos, é aproximadamente Normal, com média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 A </w:t>
      </w:r>
      <w:hyperlink r:id="rId7"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aplica a regra 68–95–99,7 a essa distribuição.</w:t>
      </w:r>
    </w:p>
    <w:p w14:paraId="5263AC12" w14:textId="77777777" w:rsidR="00886F8C" w:rsidRPr="00886F8C" w:rsidRDefault="00886F8C" w:rsidP="00886F8C">
      <w:pPr>
        <w:spacing w:before="24" w:after="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A parte 95 da regra 68–95–99,7 diz que os 95% centrais das alturas de jovens mulheres estão entre</w:t>
      </w:r>
    </w:p>
    <w:p w14:paraId="54CD05D4" w14:textId="77777777" w:rsidR="00886F8C" w:rsidRPr="00886F8C" w:rsidRDefault="00DD0D26" w:rsidP="00886F8C">
      <w:pPr>
        <w:spacing w:before="240" w:after="24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mc:AlternateContent>
          <mc:Choice Requires="wps">
            <w:drawing>
              <wp:inline distT="0" distB="0" distL="0" distR="0" wp14:anchorId="21209100" wp14:editId="79676AE3">
                <wp:extent cx="308610" cy="308610"/>
                <wp:effectExtent l="0" t="0" r="0" b="0"/>
                <wp:docPr id="2" name="AutoShap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8D9BC" id="AutoShape 1"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LCx+325AgAAxQUA&#10;AA4AAAAAAAAAAAAAAAAALgIAAGRycy9lMm9Eb2MueG1sUEsBAi0AFAAGAAgAAAAhAJj2bA3ZAAAA&#10;AwEAAA8AAAAAAAAAAAAAAAAAEwUAAGRycy9kb3ducmV2LnhtbFBLBQYAAAAABAAEAPMAAAAZBgAA&#10;AAA=&#10;" filled="f" stroked="f">
                <o:lock v:ext="edit" aspectratio="t"/>
                <w10:anchorlock/>
              </v:rect>
            </w:pict>
          </mc:Fallback>
        </mc:AlternateContent>
      </w:r>
      <w:r w:rsidR="00886F8C" w:rsidRPr="00161A9A">
        <w:rPr>
          <w:rFonts w:ascii="Times New Roman" w:eastAsia="Times New Roman" w:hAnsi="Times New Roman" w:cs="Times New Roman"/>
          <w:noProof/>
          <w:sz w:val="24"/>
          <w:szCs w:val="24"/>
          <w:lang w:eastAsia="pt-BR"/>
        </w:rPr>
        <w:drawing>
          <wp:inline distT="0" distB="0" distL="0" distR="0" wp14:anchorId="0F7C8805" wp14:editId="377ADD8A">
            <wp:extent cx="3333750" cy="2473713"/>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333750" cy="2473713"/>
                    </a:xfrm>
                    <a:prstGeom prst="rect">
                      <a:avLst/>
                    </a:prstGeom>
                    <a:noFill/>
                    <a:ln w="9525">
                      <a:noFill/>
                      <a:miter lim="800000"/>
                      <a:headEnd/>
                      <a:tailEnd/>
                    </a:ln>
                  </pic:spPr>
                </pic:pic>
              </a:graphicData>
            </a:graphic>
          </wp:inline>
        </w:drawing>
      </w:r>
    </w:p>
    <w:p w14:paraId="5865874E" w14:textId="77777777" w:rsidR="00A05512" w:rsidRDefault="00886F8C" w:rsidP="00A05512">
      <w:pPr>
        <w:spacing w:before="72" w:after="312" w:line="240" w:lineRule="auto"/>
        <w:rPr>
          <w:rFonts w:ascii="Times New Roman" w:eastAsia="Times New Roman" w:hAnsi="Times New Roman" w:cs="Times New Roman"/>
          <w:sz w:val="24"/>
          <w:szCs w:val="24"/>
          <w:lang w:eastAsia="pt-BR"/>
        </w:rPr>
      </w:pPr>
      <w:r w:rsidRPr="00161A9A">
        <w:rPr>
          <w:rFonts w:ascii="Arial" w:eastAsia="Times New Roman" w:hAnsi="Arial" w:cs="Arial"/>
          <w:b/>
          <w:bCs/>
          <w:sz w:val="24"/>
          <w:szCs w:val="24"/>
          <w:lang w:eastAsia="pt-BR"/>
        </w:rPr>
        <w:t>FIGURA 11.3</w:t>
      </w:r>
      <w:r w:rsidRPr="00886F8C">
        <w:rPr>
          <w:rFonts w:ascii="Times New Roman" w:eastAsia="Times New Roman" w:hAnsi="Times New Roman" w:cs="Times New Roman"/>
          <w:sz w:val="24"/>
          <w:szCs w:val="24"/>
          <w:lang w:eastAsia="pt-BR"/>
        </w:rPr>
        <w:t> A regra 68–95–99,7 aplicada à distribuição das alturas de mulheres jovens, com idade entre 18 e 24 anos, com </w:t>
      </w:r>
      <w:r w:rsidRPr="00161A9A">
        <w:rPr>
          <w:rFonts w:ascii="Times New Roman" w:eastAsia="Times New Roman" w:hAnsi="Times New Roman" w:cs="Times New Roman"/>
          <w:i/>
          <w:iCs/>
          <w:sz w:val="24"/>
          <w:szCs w:val="24"/>
          <w:lang w:eastAsia="pt-BR"/>
        </w:rPr>
        <w:t>µ</w:t>
      </w:r>
      <w:r w:rsidRPr="00886F8C">
        <w:rPr>
          <w:rFonts w:ascii="Times New Roman" w:eastAsia="Times New Roman" w:hAnsi="Times New Roman" w:cs="Times New Roman"/>
          <w:sz w:val="24"/>
          <w:szCs w:val="24"/>
          <w:lang w:eastAsia="pt-BR"/>
        </w:rPr>
        <w:t> = 64,5 polegadas (163,83 cm) e </w:t>
      </w:r>
      <w:r w:rsidRPr="00161A9A">
        <w:rPr>
          <w:rFonts w:ascii="Times New Roman" w:eastAsia="Times New Roman" w:hAnsi="Times New Roman" w:cs="Times New Roman"/>
          <w:i/>
          <w:iCs/>
          <w:sz w:val="24"/>
          <w:szCs w:val="24"/>
          <w:lang w:eastAsia="pt-BR"/>
        </w:rPr>
        <w:t>σ</w:t>
      </w:r>
      <w:r w:rsidRPr="00886F8C">
        <w:rPr>
          <w:rFonts w:ascii="Times New Roman" w:eastAsia="Times New Roman" w:hAnsi="Times New Roman" w:cs="Times New Roman"/>
          <w:sz w:val="24"/>
          <w:szCs w:val="24"/>
          <w:lang w:eastAsia="pt-BR"/>
        </w:rPr>
        <w:t> = 2,5 polegadas (6,35 cm).</w:t>
      </w:r>
    </w:p>
    <w:p w14:paraId="4A04ADC0" w14:textId="77777777" w:rsidR="00886F8C" w:rsidRPr="00886F8C" w:rsidRDefault="00886F8C" w:rsidP="00A05512">
      <w:pPr>
        <w:spacing w:before="72" w:after="312" w:line="240" w:lineRule="auto"/>
        <w:rPr>
          <w:rFonts w:ascii="Times New Roman" w:eastAsia="Times New Roman" w:hAnsi="Times New Roman" w:cs="Times New Roman"/>
          <w:sz w:val="24"/>
          <w:szCs w:val="24"/>
          <w:lang w:eastAsia="pt-BR"/>
        </w:rPr>
      </w:pP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w:t>
      </w:r>
      <w:proofErr w:type="gramStart"/>
      <w:r w:rsidRPr="00886F8C">
        <w:rPr>
          <w:rFonts w:ascii="Times New Roman" w:eastAsia="Times New Roman" w:hAnsi="Times New Roman" w:cs="Times New Roman"/>
          <w:sz w:val="24"/>
          <w:szCs w:val="24"/>
          <w:lang w:eastAsia="pt-BR"/>
        </w:rPr>
        <w:t>2)(</w:t>
      </w:r>
      <w:proofErr w:type="gramEnd"/>
      <w:r w:rsidRPr="00886F8C">
        <w:rPr>
          <w:rFonts w:ascii="Times New Roman" w:eastAsia="Times New Roman" w:hAnsi="Times New Roman" w:cs="Times New Roman"/>
          <w:sz w:val="24"/>
          <w:szCs w:val="24"/>
          <w:lang w:eastAsia="pt-BR"/>
        </w:rPr>
        <w:t>2,5) = 64,5 – = 59,5</w:t>
      </w:r>
      <w:r w:rsidR="00161A9A" w:rsidRPr="00161A9A">
        <w:rPr>
          <w:rFonts w:ascii="Times New Roman" w:eastAsia="Times New Roman" w:hAnsi="Times New Roman" w:cs="Times New Roman"/>
          <w:sz w:val="24"/>
          <w:szCs w:val="24"/>
          <w:lang w:eastAsia="pt-BR"/>
        </w:rPr>
        <w:t xml:space="preserve"> </w:t>
      </w:r>
      <w:r w:rsidRPr="00886F8C">
        <w:rPr>
          <w:rFonts w:ascii="Times New Roman" w:eastAsia="Times New Roman" w:hAnsi="Times New Roman" w:cs="Times New Roman"/>
          <w:sz w:val="24"/>
          <w:szCs w:val="24"/>
          <w:lang w:eastAsia="pt-BR"/>
        </w:rPr>
        <w:t>e</w:t>
      </w:r>
      <w:r w:rsidR="00A05512">
        <w:rPr>
          <w:rFonts w:ascii="Times New Roman" w:eastAsia="Times New Roman" w:hAnsi="Times New Roman" w:cs="Times New Roman"/>
          <w:sz w:val="24"/>
          <w:szCs w:val="24"/>
          <w:lang w:eastAsia="pt-BR"/>
        </w:rPr>
        <w:t xml:space="preserve">              </w:t>
      </w:r>
      <w:r w:rsidRPr="00161A9A">
        <w:rPr>
          <w:rFonts w:ascii="Times New Roman" w:eastAsia="Times New Roman" w:hAnsi="Times New Roman" w:cs="Times New Roman"/>
          <w:i/>
          <w:iCs/>
          <w:sz w:val="24"/>
          <w:szCs w:val="24"/>
          <w:lang w:eastAsia="pt-BR"/>
        </w:rPr>
        <w:t>μ</w:t>
      </w:r>
      <w:r w:rsidRPr="00886F8C">
        <w:rPr>
          <w:rFonts w:ascii="Times New Roman" w:eastAsia="Times New Roman" w:hAnsi="Times New Roman" w:cs="Times New Roman"/>
          <w:sz w:val="24"/>
          <w:szCs w:val="24"/>
          <w:lang w:eastAsia="pt-BR"/>
        </w:rPr>
        <w:t> – 2σ = 64,5 + (2)(2,5) = 64,5 + = 59,5</w:t>
      </w:r>
    </w:p>
    <w:p w14:paraId="308A869A"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isto é, entre 59,5 polegadas (151,13 cm) e 69,5 (176,53 cm) polegadas de altura.</w:t>
      </w:r>
    </w:p>
    <w:p w14:paraId="4D5A9258" w14:textId="77777777" w:rsidR="00886F8C" w:rsidRPr="00886F8C" w:rsidRDefault="00886F8C" w:rsidP="00886F8C">
      <w:pPr>
        <w:spacing w:before="24" w:line="240" w:lineRule="auto"/>
        <w:ind w:firstLine="336"/>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Os outros 5% das mulheres jovens têm altura fora dessa faixa. Como as distribuições Normais são simétricas, metade dessas mulheres está no lado alto. Assim, os 2,5% das mulheres mais altas são maiores que 69,5 polegadas (176,53 cm). Reescrito em termos de probabilidade, significa que há uma probabilidade de 0,025, aproximadamente, de que uma mulher, selecionada aleatoriamente, seja mais alta que 69,5 polegadas (176,53 cm). </w:t>
      </w:r>
      <w:r w:rsidRPr="00161A9A">
        <w:rPr>
          <w:rFonts w:ascii="Times New Roman" w:eastAsia="Times New Roman" w:hAnsi="Times New Roman" w:cs="Times New Roman"/>
          <w:b/>
          <w:bCs/>
          <w:sz w:val="24"/>
          <w:szCs w:val="24"/>
          <w:lang w:eastAsia="pt-BR"/>
        </w:rPr>
        <w:t>■</w:t>
      </w:r>
    </w:p>
    <w:p w14:paraId="26AD0FFD" w14:textId="77777777" w:rsidR="00886F8C" w:rsidRPr="00886F8C" w:rsidRDefault="00886F8C" w:rsidP="00886F8C">
      <w:pPr>
        <w:spacing w:after="192" w:line="240" w:lineRule="auto"/>
        <w:ind w:left="-24"/>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EXEMPLO 11.2</w:t>
      </w:r>
      <w:r w:rsidRPr="00886F8C">
        <w:rPr>
          <w:rFonts w:ascii="Arial" w:eastAsia="Times New Roman" w:hAnsi="Arial" w:cs="Arial"/>
          <w:b/>
          <w:bCs/>
          <w:sz w:val="24"/>
          <w:szCs w:val="24"/>
          <w:lang w:eastAsia="pt-BR"/>
        </w:rPr>
        <w:t>Alturas de mulheres jovens</w:t>
      </w:r>
    </w:p>
    <w:p w14:paraId="584B2477" w14:textId="77777777" w:rsidR="00886F8C" w:rsidRPr="00886F8C" w:rsidRDefault="00886F8C" w:rsidP="00886F8C">
      <w:pPr>
        <w:spacing w:before="12" w:after="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Olhe de novo a </w:t>
      </w:r>
      <w:hyperlink r:id="rId9" w:anchor="ch11fig3" w:history="1">
        <w:r w:rsidRPr="00161A9A">
          <w:rPr>
            <w:rFonts w:ascii="Times New Roman" w:eastAsia="Times New Roman" w:hAnsi="Times New Roman" w:cs="Times New Roman"/>
            <w:sz w:val="24"/>
            <w:szCs w:val="24"/>
            <w:u w:val="single"/>
            <w:lang w:eastAsia="pt-BR"/>
          </w:rPr>
          <w:t>Figura 11.3</w:t>
        </w:r>
      </w:hyperlink>
      <w:r w:rsidRPr="00886F8C">
        <w:rPr>
          <w:rFonts w:ascii="Times New Roman" w:eastAsia="Times New Roman" w:hAnsi="Times New Roman" w:cs="Times New Roman"/>
          <w:sz w:val="24"/>
          <w:szCs w:val="24"/>
          <w:lang w:eastAsia="pt-BR"/>
        </w:rPr>
        <w:t>. Uma altura de 62 polegadas (157,48 cm) está um desvio-padrão abaixo da média. Qual é a probabilidade de que uma mulher seja mais alta que 62 polegadas (157,48 cm)? Ache a resposta somando áreas na figura. Eis o desenho do cálculo:</w:t>
      </w:r>
    </w:p>
    <w:p w14:paraId="55C2D4FA" w14:textId="77777777" w:rsidR="00886F8C" w:rsidRPr="00886F8C" w:rsidRDefault="00A8746D" w:rsidP="00886F8C">
      <w:pPr>
        <w:spacing w:before="240" w:after="240" w:line="240" w:lineRule="auto"/>
        <w:jc w:val="center"/>
        <w:rPr>
          <w:rFonts w:ascii="Times New Roman" w:eastAsia="Times New Roman" w:hAnsi="Times New Roman" w:cs="Times New Roman"/>
          <w:sz w:val="24"/>
          <w:szCs w:val="24"/>
          <w:lang w:eastAsia="pt-BR"/>
        </w:rPr>
      </w:pPr>
      <w:r w:rsidRPr="00161A9A">
        <w:rPr>
          <w:rFonts w:ascii="Times New Roman" w:eastAsia="Times New Roman" w:hAnsi="Times New Roman" w:cs="Times New Roman"/>
          <w:noProof/>
          <w:sz w:val="24"/>
          <w:szCs w:val="24"/>
          <w:lang w:eastAsia="pt-BR"/>
        </w:rPr>
        <w:drawing>
          <wp:inline distT="0" distB="0" distL="0" distR="0" wp14:anchorId="7F91DA09" wp14:editId="1966827C">
            <wp:extent cx="5400040" cy="1897311"/>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400040" cy="1897311"/>
                    </a:xfrm>
                    <a:prstGeom prst="rect">
                      <a:avLst/>
                    </a:prstGeom>
                    <a:noFill/>
                    <a:ln w="9525">
                      <a:noFill/>
                      <a:miter lim="800000"/>
                      <a:headEnd/>
                      <a:tailEnd/>
                    </a:ln>
                  </pic:spPr>
                </pic:pic>
              </a:graphicData>
            </a:graphic>
          </wp:inline>
        </w:drawing>
      </w:r>
    </w:p>
    <w:p w14:paraId="2E715C4E" w14:textId="77777777" w:rsidR="00886F8C" w:rsidRPr="00886F8C" w:rsidRDefault="00886F8C" w:rsidP="00886F8C">
      <w:pPr>
        <w:spacing w:before="12" w:line="240" w:lineRule="auto"/>
        <w:jc w:val="both"/>
        <w:rPr>
          <w:rFonts w:ascii="Times New Roman" w:eastAsia="Times New Roman" w:hAnsi="Times New Roman" w:cs="Times New Roman"/>
          <w:sz w:val="24"/>
          <w:szCs w:val="24"/>
          <w:lang w:eastAsia="pt-BR"/>
        </w:rPr>
      </w:pPr>
      <w:r w:rsidRPr="00886F8C">
        <w:rPr>
          <w:rFonts w:ascii="Times New Roman" w:eastAsia="Times New Roman" w:hAnsi="Times New Roman" w:cs="Times New Roman"/>
          <w:sz w:val="24"/>
          <w:szCs w:val="24"/>
          <w:lang w:eastAsia="pt-BR"/>
        </w:rPr>
        <w:t>Certifique-se de entender de onde os 16% surgiram: 32% das alturas estão fora da faixa de 62 a 67 polegadas (157,48 cm e 170,18 cm, respectivamente), e metade dessas está acima de 67 polegadas (170,18 cm). </w:t>
      </w:r>
      <w:r w:rsidRPr="00161A9A">
        <w:rPr>
          <w:rFonts w:ascii="Times New Roman" w:eastAsia="Times New Roman" w:hAnsi="Times New Roman" w:cs="Times New Roman"/>
          <w:b/>
          <w:bCs/>
          <w:sz w:val="24"/>
          <w:szCs w:val="24"/>
          <w:lang w:eastAsia="pt-BR"/>
        </w:rPr>
        <w:t>■</w:t>
      </w:r>
    </w:p>
    <w:p w14:paraId="4DEEDBE0" w14:textId="77777777" w:rsidR="00886F8C" w:rsidRPr="00886F8C" w:rsidRDefault="00DD0D26" w:rsidP="00771B85">
      <w:pPr>
        <w:spacing w:before="192" w:after="192"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mc:AlternateContent>
          <mc:Choice Requires="wps">
            <w:drawing>
              <wp:inline distT="0" distB="0" distL="0" distR="0" wp14:anchorId="0CA8823A" wp14:editId="3798A0DF">
                <wp:extent cx="308610" cy="308610"/>
                <wp:effectExtent l="0" t="0" r="0" b="0"/>
                <wp:docPr id="1" name="AutoShap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C48BA" id="AutoShape 2"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EUtD0twIAAMUFAAAO&#10;AAAAAAAAAAAAAAAAAC4CAABkcnMvZTJvRG9jLnhtbFBLAQItABQABgAIAAAAIQCY9mwN2QAAAAMB&#10;AAAPAAAAAAAAAAAAAAAAABEFAABkcnMvZG93bnJldi54bWxQSwUGAAAAAAQABADzAAAAFwYAAAAA&#10;" filled="f" stroked="f">
                <o:lock v:ext="edit" aspectratio="t"/>
                <w10:anchorlock/>
              </v:rect>
            </w:pict>
          </mc:Fallback>
        </mc:AlternateContent>
      </w:r>
      <w:r w:rsidR="00886F8C" w:rsidRPr="00161A9A">
        <w:rPr>
          <w:rFonts w:ascii="Times New Roman" w:eastAsia="Times New Roman" w:hAnsi="Times New Roman" w:cs="Times New Roman"/>
          <w:i/>
          <w:iCs/>
          <w:sz w:val="24"/>
          <w:szCs w:val="24"/>
          <w:lang w:eastAsia="pt-BR"/>
        </w:rPr>
        <w:t xml:space="preserve">A regra 68–95–99,7 descreve distribuições </w:t>
      </w:r>
      <w:proofErr w:type="gramStart"/>
      <w:r w:rsidR="00886F8C" w:rsidRPr="00161A9A">
        <w:rPr>
          <w:rFonts w:ascii="Times New Roman" w:eastAsia="Times New Roman" w:hAnsi="Times New Roman" w:cs="Times New Roman"/>
          <w:i/>
          <w:iCs/>
          <w:sz w:val="24"/>
          <w:szCs w:val="24"/>
          <w:lang w:eastAsia="pt-BR"/>
        </w:rPr>
        <w:t>exatamente Normais</w:t>
      </w:r>
      <w:proofErr w:type="gramEnd"/>
      <w:r w:rsidR="00886F8C" w:rsidRPr="00161A9A">
        <w:rPr>
          <w:rFonts w:ascii="Times New Roman" w:eastAsia="Times New Roman" w:hAnsi="Times New Roman" w:cs="Times New Roman"/>
          <w:i/>
          <w:iCs/>
          <w:sz w:val="24"/>
          <w:szCs w:val="24"/>
          <w:lang w:eastAsia="pt-BR"/>
        </w:rPr>
        <w:t>. Dados reais nunca são exatamente Normais.</w:t>
      </w:r>
      <w:r w:rsidR="00886F8C" w:rsidRPr="00886F8C">
        <w:rPr>
          <w:rFonts w:ascii="Times New Roman" w:eastAsia="Times New Roman" w:hAnsi="Times New Roman" w:cs="Times New Roman"/>
          <w:sz w:val="24"/>
          <w:szCs w:val="24"/>
          <w:lang w:eastAsia="pt-BR"/>
        </w:rPr>
        <w:t xml:space="preserve"> Olhe de novo o Exemplo 9.8 sobre alturas de mulheres na faixa dos 40 anos. </w:t>
      </w:r>
    </w:p>
    <w:p w14:paraId="5F75FB69" w14:textId="77777777" w:rsidR="00EA2B27" w:rsidRPr="00161A9A" w:rsidRDefault="00886F8C" w:rsidP="00771B85">
      <w:pPr>
        <w:pBdr>
          <w:bottom w:val="single" w:sz="12" w:space="0" w:color="6D6E71"/>
        </w:pBdr>
        <w:spacing w:before="360" w:after="120" w:line="240" w:lineRule="auto"/>
        <w:outlineLvl w:val="3"/>
        <w:rPr>
          <w:rFonts w:ascii="Arial" w:eastAsia="Times New Roman" w:hAnsi="Arial" w:cs="Arial"/>
          <w:b/>
          <w:bCs/>
          <w:sz w:val="24"/>
          <w:szCs w:val="24"/>
          <w:lang w:eastAsia="pt-BR"/>
        </w:rPr>
      </w:pPr>
      <w:r w:rsidRPr="00161A9A">
        <w:rPr>
          <w:rFonts w:ascii="Arial" w:eastAsia="Times New Roman" w:hAnsi="Arial" w:cs="Arial"/>
          <w:b/>
          <w:bCs/>
          <w:sz w:val="24"/>
          <w:szCs w:val="24"/>
          <w:lang w:eastAsia="pt-BR"/>
        </w:rPr>
        <w:t>APLIQUE SEU CONHECIMENTO</w:t>
      </w:r>
    </w:p>
    <w:p w14:paraId="4C3ADF95"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11.1</w:t>
      </w:r>
      <w:r w:rsidRPr="00161A9A">
        <w:rPr>
          <w:rStyle w:val="sansb"/>
          <w:rFonts w:cs="Arial"/>
          <w:b/>
          <w:bCs/>
        </w:rPr>
        <w:t>Bexigas de homens.</w:t>
      </w:r>
      <w:r w:rsidRPr="00161A9A">
        <w:t> A distribuição do volume de bexigas de homens é aproximadamente Normal, com média de 550 mililitros (mL) e desvio-padrão de 100 mL.</w:t>
      </w:r>
      <w:hyperlink r:id="rId11" w:anchor="ch11en1" w:history="1">
        <w:r w:rsidRPr="00161A9A">
          <w:rPr>
            <w:rStyle w:val="Hyperlink"/>
            <w:color w:val="auto"/>
            <w:vertAlign w:val="superscript"/>
          </w:rPr>
          <w:t>1</w:t>
        </w:r>
      </w:hyperlink>
      <w:r w:rsidRPr="00161A9A">
        <w:t> </w:t>
      </w:r>
    </w:p>
    <w:p w14:paraId="09A03B50" w14:textId="77777777" w:rsidR="00A8746D" w:rsidRPr="00161A9A" w:rsidRDefault="00A8746D" w:rsidP="00A8746D">
      <w:pPr>
        <w:pStyle w:val="indentnumber2z"/>
        <w:spacing w:before="0" w:beforeAutospacing="0" w:after="0" w:afterAutospacing="0"/>
        <w:ind w:left="720"/>
        <w:jc w:val="both"/>
      </w:pPr>
      <w:r w:rsidRPr="00161A9A">
        <w:t>Desenhe uma curva Normal na qual essa média e esse desvio-padrão estejam corretamente localizados</w:t>
      </w:r>
    </w:p>
    <w:p w14:paraId="631019EB"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7BBF2C80" w14:textId="77777777" w:rsidR="00A8746D" w:rsidRPr="00161A9A" w:rsidRDefault="00A8746D" w:rsidP="00A8746D">
      <w:pPr>
        <w:pStyle w:val="indentnumber2z"/>
        <w:spacing w:before="0" w:beforeAutospacing="0" w:after="0" w:afterAutospacing="0"/>
        <w:ind w:left="720"/>
        <w:jc w:val="both"/>
      </w:pPr>
      <w:r w:rsidRPr="00161A9A">
        <w:rPr>
          <w:rStyle w:val="innum2z"/>
          <w:rFonts w:cs="Arial"/>
          <w:b/>
          <w:bCs/>
        </w:rPr>
        <w:t>11.2</w:t>
      </w:r>
      <w:r w:rsidRPr="00161A9A">
        <w:rPr>
          <w:rStyle w:val="sansb"/>
          <w:rFonts w:cs="Arial"/>
          <w:b/>
          <w:bCs/>
        </w:rPr>
        <w:t>Bexigas de homens.</w:t>
      </w:r>
      <w:r w:rsidRPr="00161A9A">
        <w:t> A distribuição do volume de bexigas de homens é aproximadamente Normal, com média de 550 mililitros (mL) e desvio-padrão de 100 mL. Use a regra 68–95–99,7 para responder às seguintes questões. (Use o esboço feito no exercício anterior.)</w:t>
      </w:r>
    </w:p>
    <w:p w14:paraId="701B2C6C"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volumes ficam os 95% centrais dos volumes de bexigas de homens?</w:t>
      </w:r>
    </w:p>
    <w:p w14:paraId="5D842A3D"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percentual de bexigas de homens tem volume maior que 650 mL?</w:t>
      </w:r>
    </w:p>
    <w:p w14:paraId="32553B81" w14:textId="77777777" w:rsidR="00A8746D" w:rsidRPr="00161A9A" w:rsidRDefault="00A8746D" w:rsidP="00A8746D">
      <w:pPr>
        <w:pStyle w:val="indentnumber2z"/>
        <w:spacing w:before="0" w:beforeAutospacing="0" w:after="0" w:afterAutospacing="0"/>
        <w:ind w:left="720"/>
        <w:jc w:val="both"/>
        <w:rPr>
          <w:rStyle w:val="innum2z"/>
          <w:rFonts w:cs="Arial"/>
          <w:b/>
          <w:bCs/>
        </w:rPr>
      </w:pPr>
    </w:p>
    <w:p w14:paraId="0AD8996F" w14:textId="77777777" w:rsidR="00A8746D" w:rsidRPr="00161A9A" w:rsidRDefault="00D66CD5" w:rsidP="00A8746D">
      <w:pPr>
        <w:pStyle w:val="indentnumber2z"/>
        <w:spacing w:before="0" w:beforeAutospacing="0" w:after="0" w:afterAutospacing="0"/>
        <w:ind w:left="720"/>
        <w:jc w:val="both"/>
      </w:pPr>
      <w:hyperlink r:id="rId12" w:anchor="ich11ref3" w:history="1">
        <w:r w:rsidR="00A8746D" w:rsidRPr="00161A9A">
          <w:rPr>
            <w:rStyle w:val="Hyperlink"/>
            <w:rFonts w:ascii="Arial" w:hAnsi="Arial" w:cs="Arial"/>
            <w:b/>
            <w:bCs/>
            <w:color w:val="auto"/>
          </w:rPr>
          <w:t>11.3</w:t>
        </w:r>
      </w:hyperlink>
      <w:r w:rsidR="00A8746D" w:rsidRPr="00161A9A">
        <w:rPr>
          <w:rStyle w:val="sansb"/>
          <w:rFonts w:cs="Arial"/>
          <w:b/>
          <w:bCs/>
        </w:rPr>
        <w:t>Bexigas de mulheres.</w:t>
      </w:r>
      <w:r w:rsidR="00A8746D" w:rsidRPr="00161A9A">
        <w:t> A distribuição do volume de bexigas de mulheres é aproximadamente Normal, com média de 400 mL e desvio-padrão de 75 mL. Use a regra 68–95–99,7 para responder às seguintes questões.</w:t>
      </w:r>
    </w:p>
    <w:p w14:paraId="3282FB6F"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Entre quais valores ficam quase todos (99,7%) os volumes de bexigas de mulheres?</w:t>
      </w:r>
    </w:p>
    <w:p w14:paraId="65F4AF6F"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é o tamanho dos 2,5% menores volumes de bexigas entre mulheres?</w:t>
      </w:r>
    </w:p>
    <w:p w14:paraId="76FB148E" w14:textId="77777777" w:rsidR="00886F8C" w:rsidRPr="00161A9A" w:rsidRDefault="00A8746D">
      <w:pPr>
        <w:rPr>
          <w:sz w:val="24"/>
          <w:szCs w:val="24"/>
        </w:rPr>
      </w:pPr>
      <w:r w:rsidRPr="00161A9A">
        <w:rPr>
          <w:noProof/>
          <w:sz w:val="24"/>
          <w:szCs w:val="24"/>
          <w:lang w:eastAsia="pt-BR"/>
        </w:rPr>
        <w:drawing>
          <wp:inline distT="0" distB="0" distL="0" distR="0" wp14:anchorId="75604E85" wp14:editId="0AB13769">
            <wp:extent cx="5400040" cy="1230707"/>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5400040" cy="1230707"/>
                    </a:xfrm>
                    <a:prstGeom prst="rect">
                      <a:avLst/>
                    </a:prstGeom>
                    <a:noFill/>
                    <a:ln w="9525">
                      <a:noFill/>
                      <a:miter lim="800000"/>
                      <a:headEnd/>
                      <a:tailEnd/>
                    </a:ln>
                  </pic:spPr>
                </pic:pic>
              </a:graphicData>
            </a:graphic>
          </wp:inline>
        </w:drawing>
      </w:r>
    </w:p>
    <w:p w14:paraId="1950869F" w14:textId="77777777" w:rsidR="00A8746D" w:rsidRPr="00161A9A" w:rsidRDefault="00A8746D">
      <w:pPr>
        <w:rPr>
          <w:sz w:val="24"/>
          <w:szCs w:val="24"/>
        </w:rPr>
      </w:pPr>
    </w:p>
    <w:p w14:paraId="41493F21" w14:textId="77777777" w:rsidR="00A8746D" w:rsidRPr="00161A9A" w:rsidRDefault="00A8746D" w:rsidP="00A8746D">
      <w:pPr>
        <w:pStyle w:val="noindente"/>
        <w:spacing w:before="0" w:beforeAutospacing="0" w:after="192" w:afterAutospacing="0"/>
        <w:ind w:left="-24"/>
        <w:rPr>
          <w:rFonts w:ascii="Arial" w:hAnsi="Arial" w:cs="Arial"/>
          <w:b/>
          <w:bCs/>
        </w:rPr>
      </w:pPr>
      <w:r w:rsidRPr="00161A9A">
        <w:rPr>
          <w:rFonts w:ascii="Arial" w:hAnsi="Arial" w:cs="Arial"/>
          <w:b/>
          <w:bCs/>
        </w:rPr>
        <w:t>Duração da gravidez humana</w:t>
      </w:r>
    </w:p>
    <w:p w14:paraId="3207A5C3" w14:textId="77777777" w:rsidR="00A8746D" w:rsidRPr="00161A9A" w:rsidRDefault="00A8746D" w:rsidP="00A8746D">
      <w:pPr>
        <w:pStyle w:val="noindent"/>
        <w:spacing w:before="12" w:beforeAutospacing="0" w:after="12" w:afterAutospacing="0"/>
        <w:jc w:val="both"/>
      </w:pPr>
      <w:r w:rsidRPr="00161A9A">
        <w:t>A duração da gravidez humana, desde a concepção até o nascimento, varia de acordo com uma distribuição aproximadamente Normal, com média de 266 dias e desvio-padrão de 16 dias. Bebês que nascem muito antes do tempo devem receber atenção médica especial. Qual porcentagem de bebês nasce depois de oito meses (240 dias) de gestação desde a concepção?</w:t>
      </w:r>
    </w:p>
    <w:p w14:paraId="6A6EFC55" w14:textId="77777777" w:rsidR="00A8746D" w:rsidRPr="00161A9A" w:rsidRDefault="00A8746D">
      <w:pPr>
        <w:rPr>
          <w:sz w:val="24"/>
          <w:szCs w:val="24"/>
        </w:rPr>
      </w:pPr>
    </w:p>
    <w:p w14:paraId="3ED3488F" w14:textId="77777777" w:rsidR="00A8746D" w:rsidRPr="00161A9A" w:rsidRDefault="00A8746D" w:rsidP="00771B85">
      <w:pPr>
        <w:pStyle w:val="indentnumber2z"/>
        <w:spacing w:before="24" w:beforeAutospacing="0" w:after="24" w:afterAutospacing="0"/>
        <w:jc w:val="both"/>
      </w:pPr>
      <w:r w:rsidRPr="00161A9A">
        <w:rPr>
          <w:rStyle w:val="sansb"/>
          <w:rFonts w:cs="Arial"/>
          <w:b/>
          <w:bCs/>
        </w:rPr>
        <w:t>Bexigas de homens.</w:t>
      </w:r>
      <w:r w:rsidRPr="00161A9A">
        <w:t> A distribuição do volume de bexigas de homens é aproximadamente Normal, com média </w:t>
      </w:r>
      <w:r w:rsidRPr="00161A9A">
        <w:rPr>
          <w:rStyle w:val="nfase"/>
        </w:rPr>
        <w:t>µ</w:t>
      </w:r>
      <w:r w:rsidRPr="00161A9A">
        <w:t> = 550 mL e desvio-padrão </w:t>
      </w:r>
      <w:r w:rsidRPr="00161A9A">
        <w:rPr>
          <w:rStyle w:val="nfase"/>
        </w:rPr>
        <w:t>σ</w:t>
      </w:r>
      <w:r w:rsidRPr="00161A9A">
        <w:t> = 100 mL.</w:t>
      </w:r>
    </w:p>
    <w:p w14:paraId="4A935D35" w14:textId="77777777" w:rsidR="00A8746D" w:rsidRPr="00161A9A" w:rsidRDefault="00A8746D" w:rsidP="00A8746D">
      <w:pPr>
        <w:pStyle w:val="indentalpha2z"/>
        <w:spacing w:before="0" w:beforeAutospacing="0" w:after="0" w:afterAutospacing="0"/>
        <w:ind w:left="1104"/>
        <w:jc w:val="both"/>
      </w:pPr>
      <w:r w:rsidRPr="00161A9A">
        <w:rPr>
          <w:rStyle w:val="alpha"/>
        </w:rPr>
        <w:t>(a)</w:t>
      </w:r>
      <w:r w:rsidRPr="00161A9A">
        <w:t>Qual é a proporção das bexigas de homens maiores que 500 mL?</w:t>
      </w:r>
    </w:p>
    <w:p w14:paraId="126B8A21" w14:textId="77777777" w:rsidR="00A8746D" w:rsidRPr="00161A9A" w:rsidRDefault="00A8746D" w:rsidP="00A8746D">
      <w:pPr>
        <w:pStyle w:val="indentalpha2z"/>
        <w:spacing w:before="0" w:beforeAutospacing="0" w:after="0" w:afterAutospacing="0"/>
        <w:ind w:left="1104"/>
        <w:jc w:val="both"/>
      </w:pPr>
      <w:r w:rsidRPr="00161A9A">
        <w:rPr>
          <w:rStyle w:val="alpha"/>
        </w:rPr>
        <w:t>(b)</w:t>
      </w:r>
      <w:r w:rsidRPr="00161A9A">
        <w:t>Qual proporção das bexigas de homens está entre 500 mL e 600 mL?</w:t>
      </w:r>
    </w:p>
    <w:p w14:paraId="429EDF97" w14:textId="77777777" w:rsidR="00161A9A" w:rsidRPr="00161A9A" w:rsidRDefault="00161A9A" w:rsidP="00771B85">
      <w:pPr>
        <w:pStyle w:val="indentnumber2z"/>
        <w:spacing w:before="0" w:beforeAutospacing="0" w:after="0" w:afterAutospacing="0"/>
        <w:jc w:val="both"/>
        <w:rPr>
          <w:rStyle w:val="sansb"/>
          <w:rFonts w:cs="Arial"/>
          <w:b/>
          <w:bCs/>
        </w:rPr>
      </w:pPr>
    </w:p>
    <w:p w14:paraId="63F48842" w14:textId="77777777" w:rsidR="00A8746D" w:rsidRPr="00161A9A" w:rsidRDefault="00A8746D" w:rsidP="00771B85">
      <w:pPr>
        <w:pStyle w:val="indentnumber2z"/>
        <w:spacing w:before="0" w:beforeAutospacing="0" w:after="0" w:afterAutospacing="0"/>
        <w:jc w:val="both"/>
      </w:pPr>
      <w:r w:rsidRPr="00161A9A">
        <w:rPr>
          <w:rStyle w:val="sansb"/>
          <w:rFonts w:cs="Arial"/>
          <w:b/>
          <w:bCs/>
        </w:rPr>
        <w:t>Bexigas de mulheres.</w:t>
      </w:r>
      <w:r w:rsidRPr="00161A9A">
        <w:t> As bexigas de mulheres são, na média, menores que as dos homens. A distribuição do volume de bexigas de mulheres é aproximadamente </w:t>
      </w:r>
      <w:r w:rsidRPr="00161A9A">
        <w:rPr>
          <w:rStyle w:val="nfase"/>
        </w:rPr>
        <w:t>N</w:t>
      </w:r>
      <w:r w:rsidRPr="00161A9A">
        <w:t>(400; 75) em mililitros. Ache a proporção de bexigas de mulheres com um volume entre 500 mL e 600 mL.</w:t>
      </w:r>
    </w:p>
    <w:p w14:paraId="371C351A" w14:textId="77777777" w:rsidR="00A8746D" w:rsidRPr="00161A9A" w:rsidRDefault="00A8746D">
      <w:pPr>
        <w:rPr>
          <w:sz w:val="24"/>
          <w:szCs w:val="24"/>
        </w:rPr>
      </w:pPr>
    </w:p>
    <w:p w14:paraId="502DFA37" w14:textId="77777777" w:rsidR="008B41C4" w:rsidRPr="00161A9A" w:rsidRDefault="008B41C4" w:rsidP="00771B85">
      <w:pPr>
        <w:pStyle w:val="indentnumber2z"/>
        <w:spacing w:before="24" w:beforeAutospacing="0" w:after="24" w:afterAutospacing="0"/>
        <w:jc w:val="both"/>
      </w:pPr>
      <w:r w:rsidRPr="00161A9A">
        <w:rPr>
          <w:rStyle w:val="sansb"/>
          <w:rFonts w:cs="Arial"/>
          <w:b/>
          <w:bCs/>
        </w:rPr>
        <w:t>Colesterol em mulheres jovens.</w:t>
      </w:r>
      <w:r w:rsidRPr="00161A9A">
        <w:t> Excesso de colesterol no sangue aumenta o risco de doenças cardíacas. Mulheres jovens são, em geral, menos afetadas pelo colesterol alto que outros grupos. Os níveis de colesterol para mulheres com idades entre 20 e 34 anos seguem uma distribuição aproximadamente Normal, com média 185 miligramas por decilitro (mg/</w:t>
      </w:r>
      <w:proofErr w:type="spellStart"/>
      <w:r w:rsidRPr="00161A9A">
        <w:t>dL</w:t>
      </w:r>
      <w:proofErr w:type="spellEnd"/>
      <w:r w:rsidRPr="00161A9A">
        <w:t>) e desvio-padrão de 39 mg/dL.</w:t>
      </w:r>
      <w:hyperlink r:id="rId14" w:anchor="ch11en8" w:history="1">
        <w:r w:rsidRPr="00161A9A">
          <w:rPr>
            <w:rStyle w:val="Hyperlink"/>
            <w:color w:val="auto"/>
            <w:vertAlign w:val="superscript"/>
          </w:rPr>
          <w:t>8</w:t>
        </w:r>
      </w:hyperlink>
    </w:p>
    <w:p w14:paraId="0EE4ECAC"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Níveis de colesterol acima de 240 mg/</w:t>
      </w:r>
      <w:proofErr w:type="spellStart"/>
      <w:r w:rsidRPr="00161A9A">
        <w:t>dL</w:t>
      </w:r>
      <w:proofErr w:type="spellEnd"/>
      <w:r w:rsidRPr="00161A9A">
        <w:t xml:space="preserve"> requerem atenção médica. Qual percentual de mulheres jovens tem níveis acima de 240 mg/</w:t>
      </w:r>
      <w:proofErr w:type="spellStart"/>
      <w:r w:rsidRPr="00161A9A">
        <w:t>dL</w:t>
      </w:r>
      <w:proofErr w:type="spellEnd"/>
      <w:r w:rsidRPr="00161A9A">
        <w:t>?</w:t>
      </w:r>
    </w:p>
    <w:p w14:paraId="7F582A0B" w14:textId="77777777" w:rsidR="008B41C4" w:rsidRPr="00161A9A" w:rsidRDefault="008B41C4" w:rsidP="008B41C4">
      <w:pPr>
        <w:pStyle w:val="indentalpha2z"/>
        <w:spacing w:before="0" w:beforeAutospacing="0" w:after="0" w:afterAutospacing="0"/>
        <w:ind w:left="1104"/>
        <w:jc w:val="both"/>
      </w:pPr>
      <w:r w:rsidRPr="00161A9A">
        <w:rPr>
          <w:rStyle w:val="alpha"/>
        </w:rPr>
        <w:lastRenderedPageBreak/>
        <w:t>(b)</w:t>
      </w:r>
      <w:r w:rsidRPr="00161A9A">
        <w:t>Níveis acima de 200 mg/</w:t>
      </w:r>
      <w:proofErr w:type="spellStart"/>
      <w:r w:rsidRPr="00161A9A">
        <w:t>dL</w:t>
      </w:r>
      <w:proofErr w:type="spellEnd"/>
      <w:r w:rsidRPr="00161A9A">
        <w:t xml:space="preserve"> significam colesterol elevado e colocam a pessoa em risco de doença cardiovascular. Qual percentual de mulheres jovens tem nível de colesterol entre 200 e 240 mg/</w:t>
      </w:r>
      <w:proofErr w:type="spellStart"/>
      <w:r w:rsidRPr="00161A9A">
        <w:t>dL</w:t>
      </w:r>
      <w:proofErr w:type="spellEnd"/>
      <w:r w:rsidRPr="00161A9A">
        <w:t>?</w:t>
      </w:r>
    </w:p>
    <w:p w14:paraId="7451E499" w14:textId="77777777" w:rsidR="008B41C4" w:rsidRPr="00161A9A" w:rsidRDefault="008B41C4" w:rsidP="008B41C4">
      <w:pPr>
        <w:pStyle w:val="Ttulo4"/>
        <w:spacing w:before="0" w:beforeAutospacing="0" w:after="120" w:afterAutospacing="0"/>
        <w:rPr>
          <w:rFonts w:ascii="Arial" w:hAnsi="Arial" w:cs="Arial"/>
        </w:rPr>
      </w:pPr>
      <w:r w:rsidRPr="00161A9A">
        <w:rPr>
          <w:rFonts w:ascii="Arial" w:hAnsi="Arial" w:cs="Arial"/>
        </w:rPr>
        <w:t>Seu colesterol é muito alto?</w:t>
      </w:r>
    </w:p>
    <w:p w14:paraId="04BBC47C" w14:textId="77777777" w:rsidR="008B41C4" w:rsidRPr="00161A9A" w:rsidRDefault="008B41C4" w:rsidP="008B41C4">
      <w:pPr>
        <w:pStyle w:val="noindentl"/>
        <w:spacing w:before="12" w:beforeAutospacing="0" w:after="12" w:afterAutospacing="0"/>
      </w:pPr>
      <w:r w:rsidRPr="00161A9A">
        <w:t>Colesterol alto no sangue aumenta o risco de doenças do coração e enfartos. Quanto mais alto seu colesterol, maior o risco, mas não há um ponto de corte exato entre um nível saudável e um patológico. Historicamente, níveis do colesterol total acima de 240 mg/</w:t>
      </w:r>
      <w:proofErr w:type="spellStart"/>
      <w:r w:rsidRPr="00161A9A">
        <w:t>dL</w:t>
      </w:r>
      <w:proofErr w:type="spellEnd"/>
      <w:r w:rsidRPr="00161A9A">
        <w:t xml:space="preserve"> têm sido considerados um sério fator de risco. Em uma mudança na direção de prevenção e detecção prematura, foi criado um novo rótulo de “colesterol elevado” de 200 a 240 mg/</w:t>
      </w:r>
      <w:proofErr w:type="spellStart"/>
      <w:r w:rsidRPr="00161A9A">
        <w:t>dL</w:t>
      </w:r>
      <w:proofErr w:type="spellEnd"/>
      <w:r w:rsidRPr="00161A9A">
        <w:t xml:space="preserve"> para a identificação de indivíduos que podem estar em algum risco de doença cardiovascular. Um estudo estima que o resultado foi mais de 40 milhões de novos candidatos a tratamento farmacológico.</w:t>
      </w:r>
    </w:p>
    <w:p w14:paraId="326D891D" w14:textId="77777777" w:rsidR="00161A9A" w:rsidRPr="00161A9A" w:rsidRDefault="00161A9A" w:rsidP="00161A9A">
      <w:pPr>
        <w:pStyle w:val="noindentl"/>
        <w:spacing w:before="12" w:beforeAutospacing="0" w:after="12" w:afterAutospacing="0"/>
        <w:jc w:val="center"/>
        <w:rPr>
          <w:b/>
        </w:rPr>
      </w:pPr>
    </w:p>
    <w:p w14:paraId="2F31DCA0" w14:textId="77777777" w:rsidR="00161A9A" w:rsidRPr="00161A9A" w:rsidRDefault="00161A9A" w:rsidP="00161A9A">
      <w:pPr>
        <w:pStyle w:val="noindentl"/>
        <w:spacing w:before="12" w:beforeAutospacing="0" w:after="12" w:afterAutospacing="0"/>
        <w:jc w:val="center"/>
        <w:rPr>
          <w:b/>
        </w:rPr>
      </w:pPr>
      <w:r w:rsidRPr="00161A9A">
        <w:rPr>
          <w:b/>
        </w:rPr>
        <w:t>Exercícios:</w:t>
      </w:r>
    </w:p>
    <w:p w14:paraId="26E9BDB8" w14:textId="77777777" w:rsidR="008B41C4" w:rsidRPr="00161A9A" w:rsidRDefault="008B41C4" w:rsidP="00161A9A">
      <w:pPr>
        <w:pStyle w:val="indentnumber2z"/>
        <w:spacing w:before="0" w:beforeAutospacing="0" w:after="0" w:afterAutospacing="0"/>
        <w:jc w:val="both"/>
      </w:pPr>
      <w:r w:rsidRPr="00161A9A">
        <w:rPr>
          <w:rStyle w:val="innum2z"/>
          <w:rFonts w:ascii="Arial" w:hAnsi="Arial" w:cs="Arial"/>
          <w:b/>
          <w:bCs/>
        </w:rPr>
        <w:t>11.36</w:t>
      </w:r>
      <w:r w:rsidR="00161A9A" w:rsidRPr="00161A9A">
        <w:rPr>
          <w:rStyle w:val="innum2z"/>
          <w:rFonts w:ascii="Arial" w:hAnsi="Arial" w:cs="Arial"/>
          <w:b/>
          <w:bCs/>
        </w:rPr>
        <w:t xml:space="preserve"> </w:t>
      </w:r>
      <w:r w:rsidRPr="00161A9A">
        <w:rPr>
          <w:rStyle w:val="sansb"/>
          <w:rFonts w:ascii="Arial" w:hAnsi="Arial" w:cs="Arial"/>
          <w:b/>
          <w:bCs/>
        </w:rPr>
        <w:t>Colesterol em homens de meia-idade.</w:t>
      </w:r>
      <w:r w:rsidRPr="00161A9A">
        <w:t xml:space="preserve"> Homens de meia-idade são mais suscetíveis a colesterol alto que as mulheres jovens do exercício anterior. Os níveis de colesterol no sangue de homens com idades entre 55 e 64 anos são </w:t>
      </w:r>
      <w:proofErr w:type="gramStart"/>
      <w:r w:rsidRPr="00161A9A">
        <w:t>aproximadamente Normais</w:t>
      </w:r>
      <w:proofErr w:type="gramEnd"/>
      <w:r w:rsidRPr="00161A9A">
        <w:t>, com média de 222 mg/</w:t>
      </w:r>
      <w:proofErr w:type="spellStart"/>
      <w:r w:rsidRPr="00161A9A">
        <w:t>dL</w:t>
      </w:r>
      <w:proofErr w:type="spellEnd"/>
      <w:r w:rsidRPr="00161A9A">
        <w:t xml:space="preserve"> e desvio-padrão de 37 mg/</w:t>
      </w:r>
      <w:proofErr w:type="spellStart"/>
      <w:r w:rsidRPr="00161A9A">
        <w:t>dL</w:t>
      </w:r>
      <w:proofErr w:type="spellEnd"/>
      <w:r w:rsidRPr="00161A9A">
        <w:t xml:space="preserve">. </w:t>
      </w:r>
    </w:p>
    <w:p w14:paraId="701FFC48" w14:textId="77777777" w:rsidR="008B41C4" w:rsidRPr="00161A9A" w:rsidRDefault="008B41C4" w:rsidP="008B41C4">
      <w:pPr>
        <w:pStyle w:val="indentnumber2z"/>
        <w:spacing w:before="0" w:beforeAutospacing="0" w:after="0" w:afterAutospacing="0"/>
        <w:ind w:left="720"/>
        <w:jc w:val="both"/>
      </w:pPr>
      <w:r w:rsidRPr="00161A9A">
        <w:t>Qual percentual desses homens tem colesterol alto (níveis acima de 240 mg/</w:t>
      </w:r>
      <w:proofErr w:type="spellStart"/>
      <w:r w:rsidRPr="00161A9A">
        <w:t>dL</w:t>
      </w:r>
      <w:proofErr w:type="spellEnd"/>
      <w:r w:rsidRPr="00161A9A">
        <w:t xml:space="preserve">)? </w:t>
      </w:r>
    </w:p>
    <w:p w14:paraId="161E3817" w14:textId="77777777" w:rsidR="008B41C4" w:rsidRPr="00161A9A" w:rsidRDefault="008B41C4" w:rsidP="008B41C4">
      <w:pPr>
        <w:pStyle w:val="indentnumber2z"/>
        <w:spacing w:before="0" w:beforeAutospacing="0" w:after="0" w:afterAutospacing="0"/>
        <w:ind w:left="720"/>
        <w:jc w:val="both"/>
      </w:pPr>
      <w:r w:rsidRPr="00161A9A">
        <w:t>Qual percentual tem colesterol elevado (entre 200 e 240 mg/</w:t>
      </w:r>
      <w:proofErr w:type="spellStart"/>
      <w:r w:rsidRPr="00161A9A">
        <w:t>dL</w:t>
      </w:r>
      <w:proofErr w:type="spellEnd"/>
      <w:r w:rsidRPr="00161A9A">
        <w:t>)?</w:t>
      </w:r>
    </w:p>
    <w:p w14:paraId="205A8D6B" w14:textId="77777777" w:rsidR="008B41C4" w:rsidRPr="00161A9A" w:rsidRDefault="00D66CD5" w:rsidP="00161A9A">
      <w:pPr>
        <w:pStyle w:val="indentnumber2z"/>
        <w:spacing w:before="0" w:beforeAutospacing="0" w:after="0" w:afterAutospacing="0"/>
        <w:jc w:val="both"/>
      </w:pPr>
      <w:hyperlink r:id="rId15" w:anchor="ich11ref37" w:history="1">
        <w:r w:rsidR="008B41C4" w:rsidRPr="00161A9A">
          <w:rPr>
            <w:rStyle w:val="Hyperlink"/>
            <w:rFonts w:ascii="Arial" w:hAnsi="Arial" w:cs="Arial"/>
            <w:b/>
            <w:bCs/>
            <w:color w:val="auto"/>
          </w:rPr>
          <w:t>11.37</w:t>
        </w:r>
      </w:hyperlink>
      <w:r w:rsidR="008B41C4" w:rsidRPr="00161A9A">
        <w:rPr>
          <w:rStyle w:val="sansb"/>
          <w:rFonts w:ascii="Arial" w:hAnsi="Arial" w:cs="Arial"/>
          <w:b/>
          <w:bCs/>
        </w:rPr>
        <w:t>Duração da gravidez em mulheres.</w:t>
      </w:r>
      <w:r w:rsidR="008B41C4" w:rsidRPr="00161A9A">
        <w:t> A duração da gravidez humana, desde a concepção até o nascimento, varia de acordo com uma distribuição aproximadamente Normal, com média de 266 dias e desvio-padrão de 16 dias.</w:t>
      </w:r>
    </w:p>
    <w:p w14:paraId="4CF00B27"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Qual é o percentual de gravidezes que duram menos de 270 dias (cerca de nove meses)?</w:t>
      </w:r>
    </w:p>
    <w:p w14:paraId="2FE8A35F"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Qual é o percentual de gravidezes que duram entre 240 e 270 dias (entre oito e nove meses aproximadamente)?</w:t>
      </w:r>
    </w:p>
    <w:p w14:paraId="0AD042F0" w14:textId="77777777" w:rsidR="008B41C4" w:rsidRPr="00161A9A" w:rsidRDefault="008B41C4" w:rsidP="008B41C4">
      <w:pPr>
        <w:pStyle w:val="indentalpha2z"/>
        <w:spacing w:before="0" w:beforeAutospacing="0" w:after="0" w:afterAutospacing="0"/>
        <w:ind w:left="1104"/>
        <w:jc w:val="both"/>
      </w:pPr>
      <w:r w:rsidRPr="00161A9A">
        <w:rPr>
          <w:rStyle w:val="alpha"/>
        </w:rPr>
        <w:t>(c)</w:t>
      </w:r>
      <w:r w:rsidRPr="00161A9A">
        <w:t>Quanto dura uma gravidez nos 20% das gravidezes mais longas?</w:t>
      </w:r>
    </w:p>
    <w:p w14:paraId="72A4B957" w14:textId="77777777" w:rsidR="008B41C4" w:rsidRPr="00161A9A" w:rsidRDefault="008B41C4">
      <w:pPr>
        <w:rPr>
          <w:sz w:val="24"/>
          <w:szCs w:val="24"/>
        </w:rPr>
      </w:pPr>
    </w:p>
    <w:p w14:paraId="34673BBD" w14:textId="77777777" w:rsidR="008B41C4" w:rsidRPr="00161A9A" w:rsidRDefault="008B41C4" w:rsidP="00161A9A">
      <w:pPr>
        <w:pStyle w:val="indentnumber2z"/>
        <w:spacing w:before="0" w:beforeAutospacing="0" w:after="0" w:afterAutospacing="0"/>
        <w:jc w:val="both"/>
      </w:pPr>
      <w:r w:rsidRPr="00161A9A">
        <w:rPr>
          <w:rStyle w:val="innum2z"/>
          <w:rFonts w:cs="Arial"/>
          <w:b/>
          <w:bCs/>
        </w:rPr>
        <w:t>11.40</w:t>
      </w:r>
      <w:r w:rsidRPr="00161A9A">
        <w:rPr>
          <w:rStyle w:val="sansb"/>
          <w:rFonts w:ascii="Arial" w:hAnsi="Arial" w:cs="Arial"/>
          <w:b/>
          <w:bCs/>
        </w:rPr>
        <w:t>Contaminação por arsênico.</w:t>
      </w:r>
      <w:r w:rsidRPr="00161A9A">
        <w:t> Arsênico é um composto que ocorre naturalmente em concentrações muito baixas. As concentrações de arsênico no sangue, em indivíduos saudáveis, são distribuídas Normalmente, com média </w:t>
      </w:r>
      <w:r w:rsidRPr="00161A9A">
        <w:rPr>
          <w:rStyle w:val="nfase"/>
        </w:rPr>
        <w:t>µ</w:t>
      </w:r>
      <w:r w:rsidRPr="00161A9A">
        <w:t> = 3,2 </w:t>
      </w:r>
      <w:r w:rsidRPr="00161A9A">
        <w:rPr>
          <w:rStyle w:val="nfase"/>
        </w:rPr>
        <w:t>µ</w:t>
      </w:r>
      <w:r w:rsidRPr="00161A9A">
        <w:t>g/</w:t>
      </w:r>
      <w:proofErr w:type="spellStart"/>
      <w:r w:rsidRPr="00161A9A">
        <w:t>dL</w:t>
      </w:r>
      <w:proofErr w:type="spellEnd"/>
      <w:r w:rsidRPr="00161A9A">
        <w:t xml:space="preserve"> e desvio-padrão </w:t>
      </w:r>
      <w:r w:rsidRPr="00161A9A">
        <w:rPr>
          <w:rStyle w:val="nfase"/>
        </w:rPr>
        <w:t>σ</w:t>
      </w:r>
      <w:r w:rsidRPr="00161A9A">
        <w:t> = 1,5 </w:t>
      </w:r>
      <w:r w:rsidRPr="00161A9A">
        <w:rPr>
          <w:rStyle w:val="nfase"/>
        </w:rPr>
        <w:t>µ</w:t>
      </w:r>
      <w:r w:rsidRPr="00161A9A">
        <w:t>g/dL.</w:t>
      </w:r>
      <w:hyperlink r:id="rId16" w:anchor="ch11en10" w:history="1">
        <w:r w:rsidRPr="00161A9A">
          <w:rPr>
            <w:rStyle w:val="Hyperlink"/>
            <w:color w:val="auto"/>
            <w:vertAlign w:val="superscript"/>
          </w:rPr>
          <w:t>10</w:t>
        </w:r>
      </w:hyperlink>
      <w:r w:rsidRPr="00161A9A">
        <w:t> Qual é a amplitude das concentrações de arsênico no sangue correspondentes aos 90% centrais em adultos saudáveis?</w:t>
      </w:r>
    </w:p>
    <w:p w14:paraId="776B8252" w14:textId="77777777" w:rsidR="00161A9A" w:rsidRPr="00161A9A" w:rsidRDefault="00161A9A" w:rsidP="00161A9A">
      <w:pPr>
        <w:pStyle w:val="indentnumber2z"/>
        <w:spacing w:before="0" w:beforeAutospacing="0" w:after="0" w:afterAutospacing="0"/>
        <w:jc w:val="both"/>
        <w:rPr>
          <w:rStyle w:val="innum2z"/>
          <w:rFonts w:cs="Arial"/>
          <w:b/>
          <w:bCs/>
        </w:rPr>
      </w:pPr>
    </w:p>
    <w:p w14:paraId="72737A9F" w14:textId="77777777" w:rsidR="008B41C4" w:rsidRPr="00161A9A" w:rsidRDefault="00D66CD5" w:rsidP="00161A9A">
      <w:pPr>
        <w:pStyle w:val="indentnumber2z"/>
        <w:spacing w:before="0" w:beforeAutospacing="0" w:after="0" w:afterAutospacing="0"/>
        <w:jc w:val="both"/>
      </w:pPr>
      <w:hyperlink r:id="rId17" w:anchor="ich11ref41" w:history="1">
        <w:r w:rsidR="008B41C4" w:rsidRPr="00161A9A">
          <w:rPr>
            <w:rStyle w:val="Hyperlink"/>
            <w:rFonts w:ascii="Arial" w:hAnsi="Arial" w:cs="Arial"/>
            <w:b/>
            <w:bCs/>
            <w:color w:val="auto"/>
          </w:rPr>
          <w:t>11.41</w:t>
        </w:r>
      </w:hyperlink>
      <w:r w:rsidR="008B41C4" w:rsidRPr="00161A9A">
        <w:rPr>
          <w:rStyle w:val="sansb"/>
          <w:rFonts w:ascii="Arial" w:hAnsi="Arial" w:cs="Arial"/>
          <w:b/>
          <w:bCs/>
        </w:rPr>
        <w:t>Temperatura do corpo.</w:t>
      </w:r>
      <w:r w:rsidR="008B41C4" w:rsidRPr="00161A9A">
        <w:t xml:space="preserve"> Um artigo de 1868, do médico alemão Carl </w:t>
      </w:r>
      <w:proofErr w:type="spellStart"/>
      <w:r w:rsidR="008B41C4" w:rsidRPr="00161A9A">
        <w:t>Wunderlich</w:t>
      </w:r>
      <w:proofErr w:type="spellEnd"/>
      <w:r w:rsidR="008B41C4" w:rsidRPr="00161A9A">
        <w:t>, relatou, com base em mais de um milhão de leituras de temperatura, que as temperaturas corporais de adultos saudáveis são aproximadamente Normais, com média </w:t>
      </w:r>
      <w:r w:rsidR="008B41C4" w:rsidRPr="00161A9A">
        <w:rPr>
          <w:rStyle w:val="nfase"/>
        </w:rPr>
        <w:t>µ</w:t>
      </w:r>
      <w:r w:rsidR="008B41C4" w:rsidRPr="00161A9A">
        <w:t> = 98,6 Fahrenheit (37°C) e desvio-padrão </w:t>
      </w:r>
      <w:r w:rsidR="008B41C4" w:rsidRPr="00161A9A">
        <w:rPr>
          <w:rStyle w:val="nfase"/>
        </w:rPr>
        <w:t>σ</w:t>
      </w:r>
      <w:r w:rsidR="008B41C4" w:rsidRPr="00161A9A">
        <w:t> = 0,6 Fahrenheit (0,33°C). Esse ainda é o mais citado resultado para a temperatura humana.</w:t>
      </w:r>
      <w:hyperlink r:id="rId18" w:anchor="fn3" w:history="1">
        <w:r w:rsidR="008B41C4" w:rsidRPr="00161A9A">
          <w:rPr>
            <w:rStyle w:val="Hyperlink"/>
            <w:color w:val="auto"/>
          </w:rPr>
          <w:t>*</w:t>
        </w:r>
      </w:hyperlink>
    </w:p>
    <w:p w14:paraId="53342943" w14:textId="77777777" w:rsidR="008B41C4" w:rsidRPr="00161A9A" w:rsidRDefault="008B41C4" w:rsidP="008B41C4">
      <w:pPr>
        <w:pStyle w:val="indentalpha2z"/>
        <w:spacing w:before="0" w:beforeAutospacing="0" w:after="0" w:afterAutospacing="0"/>
        <w:ind w:left="1104"/>
        <w:jc w:val="both"/>
      </w:pPr>
      <w:r w:rsidRPr="00161A9A">
        <w:rPr>
          <w:rStyle w:val="alpha"/>
        </w:rPr>
        <w:t>(a)</w:t>
      </w:r>
      <w:r w:rsidRPr="00161A9A">
        <w:t>De acordo com esse estudo, qual é a amplitude das temperaturas saudáveis encontradas em 95% dos adultos? (Estamos procurando pelos 95% centrais da população adulta.)</w:t>
      </w:r>
    </w:p>
    <w:p w14:paraId="131FC0CA" w14:textId="77777777" w:rsidR="00161A9A" w:rsidRPr="00161A9A" w:rsidRDefault="00161A9A" w:rsidP="008B41C4">
      <w:pPr>
        <w:pStyle w:val="indentalpha2z"/>
        <w:spacing w:before="0" w:beforeAutospacing="0" w:after="0" w:afterAutospacing="0"/>
        <w:ind w:left="1104"/>
        <w:jc w:val="both"/>
        <w:rPr>
          <w:rStyle w:val="alpha"/>
        </w:rPr>
      </w:pPr>
    </w:p>
    <w:p w14:paraId="4433C9DE" w14:textId="77777777" w:rsidR="008B41C4" w:rsidRPr="00161A9A" w:rsidRDefault="008B41C4" w:rsidP="008B41C4">
      <w:pPr>
        <w:pStyle w:val="indentalpha2z"/>
        <w:spacing w:before="0" w:beforeAutospacing="0" w:after="0" w:afterAutospacing="0"/>
        <w:ind w:left="1104"/>
        <w:jc w:val="both"/>
      </w:pPr>
      <w:r w:rsidRPr="00161A9A">
        <w:rPr>
          <w:rStyle w:val="alpha"/>
        </w:rPr>
        <w:t>(b)</w:t>
      </w:r>
      <w:r w:rsidRPr="00161A9A">
        <w:t>Um estudo mais recente sugere que a temperatura corporal de um adulto saudável é mais bem descrita por uma distribuição </w:t>
      </w:r>
      <w:proofErr w:type="gramStart"/>
      <w:r w:rsidRPr="00161A9A">
        <w:rPr>
          <w:rStyle w:val="nfase"/>
        </w:rPr>
        <w:t>N</w:t>
      </w:r>
      <w:r w:rsidRPr="00161A9A">
        <w:t>(</w:t>
      </w:r>
      <w:proofErr w:type="gramEnd"/>
      <w:r w:rsidRPr="00161A9A">
        <w:t>98,2; 0,7). Com base nesse último estudo, qual é a amplitude dos valores que representam os 95% das temperaturas corporais mais comuns em adultos saudáveis? Compare essa amplitude com a obtida em (a).</w:t>
      </w:r>
    </w:p>
    <w:p w14:paraId="11D4243D" w14:textId="77777777" w:rsidR="008B41C4" w:rsidRPr="00161A9A" w:rsidRDefault="008B41C4">
      <w:pPr>
        <w:rPr>
          <w:sz w:val="24"/>
          <w:szCs w:val="24"/>
        </w:rPr>
      </w:pPr>
    </w:p>
    <w:p w14:paraId="127F02CB" w14:textId="77777777" w:rsidR="008B41C4" w:rsidRDefault="008B41C4">
      <w:pPr>
        <w:rPr>
          <w:rFonts w:ascii="Roboto" w:hAnsi="Roboto"/>
          <w:sz w:val="24"/>
          <w:szCs w:val="24"/>
          <w:shd w:val="clear" w:color="auto" w:fill="FAFAFA"/>
        </w:rPr>
      </w:pPr>
      <w:r w:rsidRPr="00161A9A">
        <w:rPr>
          <w:sz w:val="24"/>
          <w:szCs w:val="24"/>
        </w:rPr>
        <w:t>REFERÊNCIA</w:t>
      </w:r>
      <w:r w:rsidR="00A05512">
        <w:rPr>
          <w:sz w:val="24"/>
          <w:szCs w:val="24"/>
        </w:rPr>
        <w:t xml:space="preserve"> </w:t>
      </w:r>
      <w:r w:rsidRPr="00161A9A">
        <w:rPr>
          <w:rFonts w:ascii="Roboto" w:hAnsi="Roboto"/>
          <w:sz w:val="24"/>
          <w:szCs w:val="24"/>
          <w:shd w:val="clear" w:color="auto" w:fill="FAFAFA"/>
        </w:rPr>
        <w:t>BALDI, Brigitte, MOORE, David S. </w:t>
      </w:r>
      <w:r w:rsidRPr="00161A9A">
        <w:rPr>
          <w:rStyle w:val="nfase"/>
          <w:rFonts w:ascii="Roboto" w:hAnsi="Roboto"/>
          <w:sz w:val="24"/>
          <w:szCs w:val="24"/>
          <w:shd w:val="clear" w:color="auto" w:fill="FAFAFA"/>
        </w:rPr>
        <w:t>A Prática da Estatística nas Ciências da Vida, 2ª edição</w:t>
      </w:r>
      <w:r w:rsidRPr="00161A9A">
        <w:rPr>
          <w:rFonts w:ascii="Roboto" w:hAnsi="Roboto"/>
          <w:sz w:val="24"/>
          <w:szCs w:val="24"/>
          <w:shd w:val="clear" w:color="auto" w:fill="FAFAFA"/>
        </w:rPr>
        <w:t>. L</w:t>
      </w:r>
      <w:r w:rsidR="00D34737">
        <w:rPr>
          <w:rFonts w:ascii="Roboto" w:hAnsi="Roboto"/>
          <w:sz w:val="24"/>
          <w:szCs w:val="24"/>
          <w:shd w:val="clear" w:color="auto" w:fill="FAFAFA"/>
        </w:rPr>
        <w:t xml:space="preserve">TC, 10/2014. </w:t>
      </w:r>
    </w:p>
    <w:p w14:paraId="2D9AD5ED" w14:textId="77777777" w:rsidR="00A05512" w:rsidRDefault="00A05512" w:rsidP="00A05512">
      <w:pPr>
        <w:jc w:val="both"/>
        <w:rPr>
          <w:rFonts w:ascii="Tahoma" w:hAnsi="Tahoma" w:cs="Tahoma"/>
          <w:u w:val="single"/>
        </w:rPr>
      </w:pPr>
      <w:r>
        <w:rPr>
          <w:noProof/>
          <w:lang w:eastAsia="pt-BR"/>
        </w:rPr>
        <w:lastRenderedPageBreak/>
        <w:drawing>
          <wp:inline distT="0" distB="0" distL="0" distR="0" wp14:anchorId="4BA76A9F" wp14:editId="70B2276E">
            <wp:extent cx="4731488" cy="67195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32926" cy="6721612"/>
                    </a:xfrm>
                    <a:prstGeom prst="rect">
                      <a:avLst/>
                    </a:prstGeom>
                  </pic:spPr>
                </pic:pic>
              </a:graphicData>
            </a:graphic>
          </wp:inline>
        </w:drawing>
      </w:r>
    </w:p>
    <w:p w14:paraId="280DB712" w14:textId="77777777" w:rsidR="00A05512" w:rsidRPr="00161A9A" w:rsidRDefault="00A05512">
      <w:pPr>
        <w:rPr>
          <w:sz w:val="24"/>
          <w:szCs w:val="24"/>
        </w:rPr>
      </w:pPr>
    </w:p>
    <w:sectPr w:rsidR="00A05512" w:rsidRPr="00161A9A" w:rsidSect="00771B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341D"/>
    <w:multiLevelType w:val="hybridMultilevel"/>
    <w:tmpl w:val="9D3C7E72"/>
    <w:lvl w:ilvl="0" w:tplc="57CC8944">
      <w:start w:val="1"/>
      <w:numFmt w:val="decimal"/>
      <w:pStyle w:val="Ttulo2"/>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4F446F"/>
    <w:multiLevelType w:val="hybridMultilevel"/>
    <w:tmpl w:val="98AC910C"/>
    <w:lvl w:ilvl="0" w:tplc="DDD828EE">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A7B75"/>
    <w:multiLevelType w:val="hybridMultilevel"/>
    <w:tmpl w:val="ADF2D2A6"/>
    <w:lvl w:ilvl="0" w:tplc="A06CB5C2">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FB0BB6"/>
    <w:multiLevelType w:val="hybridMultilevel"/>
    <w:tmpl w:val="00DC61DC"/>
    <w:lvl w:ilvl="0" w:tplc="E71CA4EC">
      <w:start w:val="1"/>
      <w:numFmt w:val="decimal"/>
      <w:pStyle w:val="Ttulo3"/>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5E2357"/>
    <w:multiLevelType w:val="hybridMultilevel"/>
    <w:tmpl w:val="F4E0DD5E"/>
    <w:lvl w:ilvl="0" w:tplc="C61234A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6E5FE6"/>
    <w:multiLevelType w:val="hybridMultilevel"/>
    <w:tmpl w:val="6BC4A38C"/>
    <w:lvl w:ilvl="0" w:tplc="D2BAC06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BC7FA9"/>
    <w:multiLevelType w:val="hybridMultilevel"/>
    <w:tmpl w:val="B2501A16"/>
    <w:lvl w:ilvl="0" w:tplc="7EF864DC">
      <w:start w:val="1"/>
      <w:numFmt w:val="decimal"/>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712088"/>
    <w:multiLevelType w:val="hybridMultilevel"/>
    <w:tmpl w:val="BEF8BEDC"/>
    <w:lvl w:ilvl="0" w:tplc="415256BC">
      <w:start w:val="1"/>
      <w:numFmt w:val="decimal"/>
      <w:pStyle w:val="Ttulo1"/>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2"/>
  </w:num>
  <w:num w:numId="6">
    <w:abstractNumId w:val="2"/>
  </w:num>
  <w:num w:numId="7">
    <w:abstractNumId w:val="6"/>
  </w:num>
  <w:num w:numId="8">
    <w:abstractNumId w:val="6"/>
  </w:num>
  <w:num w:numId="9">
    <w:abstractNumId w:val="3"/>
  </w:num>
  <w:num w:numId="10">
    <w:abstractNumId w:val="3"/>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8C"/>
    <w:rsid w:val="00083C58"/>
    <w:rsid w:val="000B20EA"/>
    <w:rsid w:val="00161A9A"/>
    <w:rsid w:val="00290CD1"/>
    <w:rsid w:val="004C68DC"/>
    <w:rsid w:val="00512E39"/>
    <w:rsid w:val="0063699A"/>
    <w:rsid w:val="0065094B"/>
    <w:rsid w:val="006A7CFF"/>
    <w:rsid w:val="0070311B"/>
    <w:rsid w:val="00771B85"/>
    <w:rsid w:val="007C0C9A"/>
    <w:rsid w:val="00886F8C"/>
    <w:rsid w:val="008B41C4"/>
    <w:rsid w:val="00953F3A"/>
    <w:rsid w:val="00A05512"/>
    <w:rsid w:val="00A8746D"/>
    <w:rsid w:val="00C1360D"/>
    <w:rsid w:val="00D330F3"/>
    <w:rsid w:val="00D34737"/>
    <w:rsid w:val="00D66CD5"/>
    <w:rsid w:val="00D86CCE"/>
    <w:rsid w:val="00DD0D26"/>
    <w:rsid w:val="00EA2B27"/>
    <w:rsid w:val="00F05F5E"/>
    <w:rsid w:val="00F97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88C7"/>
  <w15:docId w15:val="{A79078DA-BD8D-4DFA-B38D-B482E46C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27"/>
  </w:style>
  <w:style w:type="paragraph" w:styleId="Ttulo1">
    <w:name w:val="heading 1"/>
    <w:basedOn w:val="Normal"/>
    <w:next w:val="Normal"/>
    <w:link w:val="Ttulo1Char"/>
    <w:uiPriority w:val="99"/>
    <w:qFormat/>
    <w:rsid w:val="0070311B"/>
    <w:pPr>
      <w:keepNext/>
      <w:widowControl w:val="0"/>
      <w:numPr>
        <w:numId w:val="3"/>
      </w:numPr>
      <w:suppressAutoHyphens/>
      <w:outlineLvl w:val="0"/>
    </w:pPr>
    <w:rPr>
      <w:rFonts w:ascii="Arial" w:eastAsia="Arial Unicode MS" w:hAnsi="Arial"/>
      <w:b/>
      <w:bCs/>
      <w:caps/>
      <w:sz w:val="24"/>
      <w:szCs w:val="32"/>
    </w:rPr>
  </w:style>
  <w:style w:type="paragraph" w:styleId="Ttulo2">
    <w:name w:val="heading 2"/>
    <w:basedOn w:val="Normal"/>
    <w:next w:val="Normal"/>
    <w:link w:val="Ttulo2Char"/>
    <w:uiPriority w:val="9"/>
    <w:unhideWhenUsed/>
    <w:qFormat/>
    <w:rsid w:val="0070311B"/>
    <w:pPr>
      <w:keepNext/>
      <w:numPr>
        <w:numId w:val="12"/>
      </w:numPr>
      <w:outlineLvl w:val="1"/>
    </w:pPr>
    <w:rPr>
      <w:rFonts w:ascii="Arial" w:eastAsia="Times New Roman" w:hAnsi="Arial"/>
      <w:bCs/>
      <w:iCs/>
      <w:caps/>
      <w:sz w:val="24"/>
      <w:szCs w:val="28"/>
    </w:rPr>
  </w:style>
  <w:style w:type="paragraph" w:styleId="Ttulo3">
    <w:name w:val="heading 3"/>
    <w:basedOn w:val="Normal"/>
    <w:next w:val="Normal"/>
    <w:link w:val="Ttulo3Char"/>
    <w:uiPriority w:val="99"/>
    <w:qFormat/>
    <w:rsid w:val="0070311B"/>
    <w:pPr>
      <w:keepNext/>
      <w:numPr>
        <w:numId w:val="10"/>
      </w:numPr>
      <w:suppressAutoHyphens/>
      <w:outlineLvl w:val="2"/>
    </w:pPr>
    <w:rPr>
      <w:rFonts w:ascii="Arial" w:eastAsia="Times New Roman" w:hAnsi="Arial"/>
      <w:bCs/>
      <w:sz w:val="24"/>
      <w:szCs w:val="26"/>
      <w:lang w:eastAsia="ar-SA"/>
    </w:rPr>
  </w:style>
  <w:style w:type="paragraph" w:styleId="Ttulo4">
    <w:name w:val="heading 4"/>
    <w:basedOn w:val="Normal"/>
    <w:link w:val="Ttulo4Char"/>
    <w:uiPriority w:val="9"/>
    <w:qFormat/>
    <w:rsid w:val="00886F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70311B"/>
    <w:rPr>
      <w:rFonts w:ascii="Arial" w:eastAsia="Arial Unicode MS" w:hAnsi="Arial"/>
      <w:b/>
      <w:bCs/>
      <w:caps/>
      <w:sz w:val="24"/>
      <w:szCs w:val="32"/>
      <w:lang w:eastAsia="en-US"/>
    </w:rPr>
  </w:style>
  <w:style w:type="character" w:customStyle="1" w:styleId="Ttulo2Char">
    <w:name w:val="Título 2 Char"/>
    <w:basedOn w:val="Fontepargpadro"/>
    <w:link w:val="Ttulo2"/>
    <w:uiPriority w:val="9"/>
    <w:rsid w:val="0070311B"/>
    <w:rPr>
      <w:rFonts w:ascii="Arial" w:eastAsia="Times New Roman" w:hAnsi="Arial"/>
      <w:bCs/>
      <w:iCs/>
      <w:caps/>
      <w:sz w:val="24"/>
      <w:szCs w:val="28"/>
      <w:lang w:eastAsia="en-US"/>
    </w:rPr>
  </w:style>
  <w:style w:type="character" w:customStyle="1" w:styleId="Ttulo3Char">
    <w:name w:val="Título 3 Char"/>
    <w:link w:val="Ttulo3"/>
    <w:uiPriority w:val="99"/>
    <w:rsid w:val="0070311B"/>
    <w:rPr>
      <w:rFonts w:ascii="Arial" w:eastAsia="Times New Roman" w:hAnsi="Arial"/>
      <w:bCs/>
      <w:sz w:val="24"/>
      <w:szCs w:val="26"/>
      <w:lang w:eastAsia="ar-SA"/>
    </w:rPr>
  </w:style>
  <w:style w:type="character" w:customStyle="1" w:styleId="Ttulo4Char">
    <w:name w:val="Título 4 Char"/>
    <w:basedOn w:val="Fontepargpadro"/>
    <w:link w:val="Ttulo4"/>
    <w:uiPriority w:val="9"/>
    <w:rsid w:val="00886F8C"/>
    <w:rPr>
      <w:rFonts w:ascii="Times New Roman" w:eastAsia="Times New Roman" w:hAnsi="Times New Roman" w:cs="Times New Roman"/>
      <w:b/>
      <w:bCs/>
      <w:sz w:val="24"/>
      <w:szCs w:val="24"/>
      <w:lang w:eastAsia="pt-BR"/>
    </w:rPr>
  </w:style>
  <w:style w:type="paragraph" w:customStyle="1" w:styleId="noindent">
    <w:name w:val="no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86F8C"/>
    <w:rPr>
      <w:i/>
      <w:iCs/>
    </w:rPr>
  </w:style>
  <w:style w:type="paragraph" w:customStyle="1" w:styleId="noindentb">
    <w:name w:val="noindent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boxb1">
    <w:name w:val="indentboxb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
    <w:name w:val="color"/>
    <w:basedOn w:val="Fontepargpadro"/>
    <w:rsid w:val="00886F8C"/>
  </w:style>
  <w:style w:type="character" w:styleId="Forte">
    <w:name w:val="Strong"/>
    <w:basedOn w:val="Fontepargpadro"/>
    <w:uiPriority w:val="22"/>
    <w:qFormat/>
    <w:rsid w:val="00886F8C"/>
    <w:rPr>
      <w:b/>
      <w:bCs/>
    </w:rPr>
  </w:style>
  <w:style w:type="paragraph" w:customStyle="1" w:styleId="indentboxb">
    <w:name w:val="indentboxb"/>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
    <w:name w:val="indent"/>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86F8C"/>
    <w:rPr>
      <w:color w:val="0000FF"/>
      <w:u w:val="single"/>
    </w:rPr>
  </w:style>
  <w:style w:type="paragraph" w:customStyle="1" w:styleId="image">
    <w:name w:val="imag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enda1">
    <w:name w:val="Legenda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g">
    <w:name w:val="fig"/>
    <w:basedOn w:val="Fontepargpadro"/>
    <w:rsid w:val="00886F8C"/>
  </w:style>
  <w:style w:type="paragraph" w:customStyle="1" w:styleId="captions">
    <w:name w:val="captions"/>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e">
    <w:name w:val="noindente"/>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x">
    <w:name w:val="ex"/>
    <w:basedOn w:val="Fontepargpadro"/>
    <w:rsid w:val="00886F8C"/>
  </w:style>
  <w:style w:type="paragraph" w:customStyle="1" w:styleId="center">
    <w:name w:val="center"/>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mage1">
    <w:name w:val="image1"/>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4pz">
    <w:name w:val="h4pz"/>
    <w:basedOn w:val="Fontepargpadro"/>
    <w:rsid w:val="00886F8C"/>
  </w:style>
  <w:style w:type="paragraph" w:customStyle="1" w:styleId="indentnumber2z">
    <w:name w:val="indentnumber2z"/>
    <w:basedOn w:val="Normal"/>
    <w:rsid w:val="00886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nnum2z">
    <w:name w:val="innum2z"/>
    <w:basedOn w:val="Fontepargpadro"/>
    <w:rsid w:val="00886F8C"/>
  </w:style>
  <w:style w:type="character" w:customStyle="1" w:styleId="sansb">
    <w:name w:val="sansb"/>
    <w:basedOn w:val="Fontepargpadro"/>
    <w:rsid w:val="00886F8C"/>
  </w:style>
  <w:style w:type="paragraph" w:styleId="Textodebalo">
    <w:name w:val="Balloon Text"/>
    <w:basedOn w:val="Normal"/>
    <w:link w:val="TextodebaloChar"/>
    <w:uiPriority w:val="99"/>
    <w:semiHidden/>
    <w:unhideWhenUsed/>
    <w:rsid w:val="00886F8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F8C"/>
    <w:rPr>
      <w:rFonts w:ascii="Tahoma" w:hAnsi="Tahoma" w:cs="Tahoma"/>
      <w:sz w:val="16"/>
      <w:szCs w:val="16"/>
    </w:rPr>
  </w:style>
  <w:style w:type="paragraph" w:customStyle="1" w:styleId="indentalpha2z">
    <w:name w:val="indentalpha2z"/>
    <w:basedOn w:val="Normal"/>
    <w:rsid w:val="00A874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pha">
    <w:name w:val="alpha"/>
    <w:basedOn w:val="Fontepargpadro"/>
    <w:rsid w:val="00A8746D"/>
  </w:style>
  <w:style w:type="paragraph" w:customStyle="1" w:styleId="noindentl">
    <w:name w:val="noindentl"/>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indentpz">
    <w:name w:val="noindentpz"/>
    <w:basedOn w:val="Normal"/>
    <w:rsid w:val="008B41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rsid w:val="000B20EA"/>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table" w:styleId="TabelaSimples1">
    <w:name w:val="Plain Table 1"/>
    <w:basedOn w:val="Tabelanormal"/>
    <w:uiPriority w:val="41"/>
    <w:rsid w:val="000B20E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2105">
      <w:bodyDiv w:val="1"/>
      <w:marLeft w:val="0"/>
      <w:marRight w:val="0"/>
      <w:marTop w:val="0"/>
      <w:marBottom w:val="0"/>
      <w:divBdr>
        <w:top w:val="none" w:sz="0" w:space="0" w:color="auto"/>
        <w:left w:val="none" w:sz="0" w:space="0" w:color="auto"/>
        <w:bottom w:val="none" w:sz="0" w:space="0" w:color="auto"/>
        <w:right w:val="none" w:sz="0" w:space="0" w:color="auto"/>
      </w:divBdr>
      <w:divsChild>
        <w:div w:id="1694068414">
          <w:marLeft w:val="0"/>
          <w:marRight w:val="0"/>
          <w:marTop w:val="264"/>
          <w:marBottom w:val="264"/>
          <w:divBdr>
            <w:top w:val="single" w:sz="6" w:space="4" w:color="000000"/>
            <w:left w:val="none" w:sz="0" w:space="0" w:color="auto"/>
            <w:bottom w:val="single" w:sz="6" w:space="4" w:color="000000"/>
            <w:right w:val="none" w:sz="0" w:space="0" w:color="auto"/>
          </w:divBdr>
        </w:div>
      </w:divsChild>
    </w:div>
    <w:div w:id="685442539">
      <w:bodyDiv w:val="1"/>
      <w:marLeft w:val="0"/>
      <w:marRight w:val="0"/>
      <w:marTop w:val="0"/>
      <w:marBottom w:val="0"/>
      <w:divBdr>
        <w:top w:val="none" w:sz="0" w:space="0" w:color="auto"/>
        <w:left w:val="none" w:sz="0" w:space="0" w:color="auto"/>
        <w:bottom w:val="none" w:sz="0" w:space="0" w:color="auto"/>
        <w:right w:val="none" w:sz="0" w:space="0" w:color="auto"/>
      </w:divBdr>
      <w:divsChild>
        <w:div w:id="719131987">
          <w:marLeft w:val="0"/>
          <w:marRight w:val="0"/>
          <w:marTop w:val="264"/>
          <w:marBottom w:val="264"/>
          <w:divBdr>
            <w:top w:val="none" w:sz="0" w:space="0" w:color="auto"/>
            <w:left w:val="none" w:sz="0" w:space="0" w:color="auto"/>
            <w:bottom w:val="none" w:sz="0" w:space="0" w:color="auto"/>
            <w:right w:val="none" w:sz="0" w:space="0" w:color="auto"/>
          </w:divBdr>
        </w:div>
        <w:div w:id="613561081">
          <w:marLeft w:val="0"/>
          <w:marRight w:val="0"/>
          <w:marTop w:val="288"/>
          <w:marBottom w:val="264"/>
          <w:divBdr>
            <w:top w:val="none" w:sz="0" w:space="0" w:color="auto"/>
            <w:left w:val="single" w:sz="18" w:space="3" w:color="6D6E71"/>
            <w:bottom w:val="none" w:sz="0" w:space="0" w:color="auto"/>
            <w:right w:val="none" w:sz="0" w:space="0" w:color="auto"/>
          </w:divBdr>
        </w:div>
        <w:div w:id="530265577">
          <w:marLeft w:val="0"/>
          <w:marRight w:val="0"/>
          <w:marTop w:val="288"/>
          <w:marBottom w:val="264"/>
          <w:divBdr>
            <w:top w:val="none" w:sz="0" w:space="0" w:color="auto"/>
            <w:left w:val="single" w:sz="18" w:space="3" w:color="6D6E71"/>
            <w:bottom w:val="none" w:sz="0" w:space="0" w:color="auto"/>
            <w:right w:val="none" w:sz="0" w:space="0" w:color="auto"/>
          </w:divBdr>
        </w:div>
        <w:div w:id="1160581576">
          <w:marLeft w:val="0"/>
          <w:marRight w:val="0"/>
          <w:marTop w:val="0"/>
          <w:marBottom w:val="240"/>
          <w:divBdr>
            <w:top w:val="none" w:sz="0" w:space="0" w:color="auto"/>
            <w:left w:val="none" w:sz="0" w:space="0" w:color="auto"/>
            <w:bottom w:val="single" w:sz="6" w:space="4" w:color="000000"/>
            <w:right w:val="none" w:sz="0" w:space="0" w:color="auto"/>
          </w:divBdr>
        </w:div>
      </w:divsChild>
    </w:div>
    <w:div w:id="787893198">
      <w:bodyDiv w:val="1"/>
      <w:marLeft w:val="0"/>
      <w:marRight w:val="0"/>
      <w:marTop w:val="0"/>
      <w:marBottom w:val="0"/>
      <w:divBdr>
        <w:top w:val="none" w:sz="0" w:space="0" w:color="auto"/>
        <w:left w:val="none" w:sz="0" w:space="0" w:color="auto"/>
        <w:bottom w:val="none" w:sz="0" w:space="0" w:color="auto"/>
        <w:right w:val="none" w:sz="0" w:space="0" w:color="auto"/>
      </w:divBdr>
      <w:divsChild>
        <w:div w:id="1502892716">
          <w:marLeft w:val="0"/>
          <w:marRight w:val="0"/>
          <w:marTop w:val="0"/>
          <w:marBottom w:val="240"/>
          <w:divBdr>
            <w:top w:val="none" w:sz="0" w:space="0" w:color="auto"/>
            <w:left w:val="none" w:sz="0" w:space="0" w:color="auto"/>
            <w:bottom w:val="single" w:sz="6" w:space="4" w:color="000000"/>
            <w:right w:val="none" w:sz="0" w:space="0" w:color="auto"/>
          </w:divBdr>
        </w:div>
      </w:divsChild>
    </w:div>
    <w:div w:id="1020088415">
      <w:bodyDiv w:val="1"/>
      <w:marLeft w:val="0"/>
      <w:marRight w:val="0"/>
      <w:marTop w:val="0"/>
      <w:marBottom w:val="0"/>
      <w:divBdr>
        <w:top w:val="none" w:sz="0" w:space="0" w:color="auto"/>
        <w:left w:val="none" w:sz="0" w:space="0" w:color="auto"/>
        <w:bottom w:val="none" w:sz="0" w:space="0" w:color="auto"/>
        <w:right w:val="none" w:sz="0" w:space="0" w:color="auto"/>
      </w:divBdr>
    </w:div>
    <w:div w:id="1284534814">
      <w:bodyDiv w:val="1"/>
      <w:marLeft w:val="0"/>
      <w:marRight w:val="0"/>
      <w:marTop w:val="0"/>
      <w:marBottom w:val="0"/>
      <w:divBdr>
        <w:top w:val="none" w:sz="0" w:space="0" w:color="auto"/>
        <w:left w:val="none" w:sz="0" w:space="0" w:color="auto"/>
        <w:bottom w:val="none" w:sz="0" w:space="0" w:color="auto"/>
        <w:right w:val="none" w:sz="0" w:space="0" w:color="auto"/>
      </w:divBdr>
    </w:div>
    <w:div w:id="1850758061">
      <w:bodyDiv w:val="1"/>
      <w:marLeft w:val="0"/>
      <w:marRight w:val="0"/>
      <w:marTop w:val="0"/>
      <w:marBottom w:val="0"/>
      <w:divBdr>
        <w:top w:val="none" w:sz="0" w:space="0" w:color="auto"/>
        <w:left w:val="none" w:sz="0" w:space="0" w:color="auto"/>
        <w:bottom w:val="none" w:sz="0" w:space="0" w:color="auto"/>
        <w:right w:val="none" w:sz="0" w:space="0" w:color="auto"/>
      </w:divBdr>
    </w:div>
    <w:div w:id="1869097217">
      <w:bodyDiv w:val="1"/>
      <w:marLeft w:val="0"/>
      <w:marRight w:val="0"/>
      <w:marTop w:val="0"/>
      <w:marBottom w:val="0"/>
      <w:divBdr>
        <w:top w:val="none" w:sz="0" w:space="0" w:color="auto"/>
        <w:left w:val="none" w:sz="0" w:space="0" w:color="auto"/>
        <w:bottom w:val="none" w:sz="0" w:space="0" w:color="auto"/>
        <w:right w:val="none" w:sz="0" w:space="0" w:color="auto"/>
      </w:divBdr>
    </w:div>
    <w:div w:id="1876119716">
      <w:bodyDiv w:val="1"/>
      <w:marLeft w:val="0"/>
      <w:marRight w:val="0"/>
      <w:marTop w:val="0"/>
      <w:marBottom w:val="0"/>
      <w:divBdr>
        <w:top w:val="none" w:sz="0" w:space="0" w:color="auto"/>
        <w:left w:val="none" w:sz="0" w:space="0" w:color="auto"/>
        <w:bottom w:val="none" w:sz="0" w:space="0" w:color="auto"/>
        <w:right w:val="none" w:sz="0" w:space="0" w:color="auto"/>
      </w:divBdr>
    </w:div>
    <w:div w:id="20694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jigsaw.vitalsource.com/books/978-85-216-2726-5/epub/OEBPS/Text/chapter1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igsaw.vitalsource.com/books/978-85-216-2726-5/epub/OEBPS/Text/chapter11.html" TargetMode="External"/><Relationship Id="rId12" Type="http://schemas.openxmlformats.org/officeDocument/2006/relationships/hyperlink" Target="https://jigsaw.vitalsource.com/books/978-85-216-2726-5/epub/OEBPS/Text/bm3.html" TargetMode="External"/><Relationship Id="rId17" Type="http://schemas.openxmlformats.org/officeDocument/2006/relationships/hyperlink" Target="https://jigsaw.vitalsource.com/books/978-85-216-2726-5/epub/OEBPS/Text/bm3.html" TargetMode="External"/><Relationship Id="rId2" Type="http://schemas.openxmlformats.org/officeDocument/2006/relationships/styles" Target="styles.xml"/><Relationship Id="rId16" Type="http://schemas.openxmlformats.org/officeDocument/2006/relationships/hyperlink" Target="https://jigsaw.vitalsource.com/books/978-85-216-2726-5/epub/OEBPS/Text/bm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igsaw.vitalsource.com/books/978-85-216-2726-5/epub/OEBPS/Text/bm1.html" TargetMode="External"/><Relationship Id="rId5" Type="http://schemas.openxmlformats.org/officeDocument/2006/relationships/hyperlink" Target="https://jigsaw.vitalsource.com/books/978-85-216-2726-5/epub/OEBPS/Text/chapter11.html" TargetMode="External"/><Relationship Id="rId15" Type="http://schemas.openxmlformats.org/officeDocument/2006/relationships/hyperlink" Target="https://jigsaw.vitalsource.com/books/978-85-216-2726-5/epub/OEBPS/Text/bm3.html"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jigsaw.vitalsource.com/books/978-85-216-2726-5/epub/OEBPS/Text/chapter11.html" TargetMode="External"/><Relationship Id="rId14" Type="http://schemas.openxmlformats.org/officeDocument/2006/relationships/hyperlink" Target="https://jigsaw.vitalsource.com/books/978-85-216-2726-5/epub/OEBPS/Text/bm1.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1529</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Knop</dc:creator>
  <cp:lastModifiedBy>Marisa Liller Knop</cp:lastModifiedBy>
  <cp:revision>6</cp:revision>
  <dcterms:created xsi:type="dcterms:W3CDTF">2020-01-27T16:10:00Z</dcterms:created>
  <dcterms:modified xsi:type="dcterms:W3CDTF">2020-08-27T18:02:00Z</dcterms:modified>
</cp:coreProperties>
</file>