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45" w:rsidRPr="00C44D45" w:rsidRDefault="00C44D45" w:rsidP="00C44D45">
      <w:pPr>
        <w:spacing w:after="0" w:line="240" w:lineRule="auto"/>
        <w:ind w:left="-540" w:right="-496"/>
        <w:jc w:val="center"/>
        <w:rPr>
          <w:rFonts w:ascii="Arial" w:eastAsia="Times New Roman" w:hAnsi="Arial" w:cs="Arial"/>
          <w:b/>
          <w:lang w:eastAsia="pt-BR"/>
        </w:rPr>
      </w:pPr>
      <w:r w:rsidRPr="00C44D45">
        <w:rPr>
          <w:rFonts w:ascii="Arial" w:eastAsia="Times New Roman" w:hAnsi="Arial" w:cs="Arial"/>
          <w:b/>
          <w:lang w:eastAsia="pt-BR"/>
        </w:rPr>
        <w:t>EXERCICIO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/>
          <w:lang w:eastAsia="pt-BR"/>
        </w:rPr>
        <w:t>3</w:t>
      </w:r>
      <w:proofErr w:type="gramEnd"/>
    </w:p>
    <w:p w:rsidR="00C44D45" w:rsidRPr="00C44D45" w:rsidRDefault="00C44D45" w:rsidP="00C44D45">
      <w:pPr>
        <w:spacing w:after="0" w:line="240" w:lineRule="auto"/>
        <w:ind w:left="-540" w:right="-496"/>
        <w:jc w:val="center"/>
        <w:rPr>
          <w:rFonts w:ascii="Arial" w:eastAsia="Times New Roman" w:hAnsi="Arial" w:cs="Arial"/>
          <w:b/>
          <w:lang w:eastAsia="pt-BR"/>
        </w:rPr>
      </w:pPr>
    </w:p>
    <w:p w:rsidR="00C44D45" w:rsidRPr="00C44D45" w:rsidRDefault="00C44D45" w:rsidP="00C44D45">
      <w:pPr>
        <w:shd w:val="clear" w:color="auto" w:fill="FFFFFF"/>
        <w:spacing w:after="0" w:line="240" w:lineRule="auto"/>
        <w:ind w:left="-540" w:right="-49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Arial" w:eastAsia="Times New Roman" w:hAnsi="Arial" w:cs="Arial"/>
          <w:b/>
          <w:color w:val="010202"/>
          <w:sz w:val="24"/>
          <w:szCs w:val="24"/>
          <w:lang w:eastAsia="pt-BR"/>
        </w:rPr>
        <w:t>1</w:t>
      </w:r>
      <w:proofErr w:type="gramEnd"/>
      <w:r w:rsidRPr="00C44D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Marque (V) para as alternativas verdadeiras e (F) para as falsas: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) É recomendado fazer a leitura da temperatura da geladeira, diariamente, no início da jornada de trabalho e no final do dia e anotar no formulário de controle diário de temperatura.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bookmarkStart w:id="0" w:name="_GoBack"/>
      <w:bookmarkEnd w:id="0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) Na sala de vacina usar tomada exclusiva para cada geladeira, se houver mais de uma.</w:t>
      </w:r>
    </w:p>
    <w:p w:rsidR="00C44D45" w:rsidRPr="00C44D45" w:rsidRDefault="00C44D45" w:rsidP="00C44D45">
      <w:pPr>
        <w:autoSpaceDE w:val="0"/>
        <w:autoSpaceDN w:val="0"/>
        <w:adjustRightInd w:val="0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lang w:eastAsia="pt-BR"/>
        </w:rPr>
        <w:t>) A vacina tríplice viral imuniza a criança contra sarampo, poliomielite e caxumba.</w:t>
      </w:r>
    </w:p>
    <w:p w:rsidR="00C44D45" w:rsidRPr="00C44D45" w:rsidRDefault="00C44D45" w:rsidP="00C44D45">
      <w:pPr>
        <w:autoSpaceDE w:val="0"/>
        <w:autoSpaceDN w:val="0"/>
        <w:adjustRightInd w:val="0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lang w:eastAsia="pt-BR"/>
        </w:rPr>
        <w:t>) A vacina contra febre amarela mudou recentemente o esquema vacinal: aos nove meses aplica-se a primeira dose e não há necessidade de reforço.</w:t>
      </w:r>
    </w:p>
    <w:p w:rsidR="00C44D45" w:rsidRPr="00C44D45" w:rsidRDefault="00C44D45" w:rsidP="00C44D45">
      <w:pPr>
        <w:autoSpaceDE w:val="0"/>
        <w:autoSpaceDN w:val="0"/>
        <w:adjustRightInd w:val="0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lang w:eastAsia="pt-BR"/>
        </w:rPr>
        <w:t xml:space="preserve">) O objetivo da introdução da vacina contra </w:t>
      </w:r>
      <w:proofErr w:type="spellStart"/>
      <w:r w:rsidRPr="00C44D45">
        <w:rPr>
          <w:rFonts w:ascii="Times New Roman" w:eastAsia="Times New Roman" w:hAnsi="Times New Roman" w:cs="Times New Roman"/>
          <w:lang w:eastAsia="pt-BR"/>
        </w:rPr>
        <w:t>Meningo</w:t>
      </w:r>
      <w:proofErr w:type="spellEnd"/>
      <w:r w:rsidRPr="00C44D45">
        <w:rPr>
          <w:rFonts w:ascii="Times New Roman" w:eastAsia="Times New Roman" w:hAnsi="Times New Roman" w:cs="Times New Roman"/>
          <w:lang w:eastAsia="pt-BR"/>
        </w:rPr>
        <w:t xml:space="preserve"> C para o adolescente é porque a longo prazo, vacinas conjugadas revelaram diminuição da proteção, após a vacinação na infância.</w:t>
      </w:r>
    </w:p>
    <w:p w:rsidR="00C44D45" w:rsidRPr="00C44D45" w:rsidRDefault="00C44D45" w:rsidP="00C44D45">
      <w:pPr>
        <w:autoSpaceDE w:val="0"/>
        <w:autoSpaceDN w:val="0"/>
        <w:adjustRightInd w:val="0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lang w:eastAsia="pt-BR"/>
        </w:rPr>
        <w:t>) Antes de administrar uma vacina devemos homogeneizar o frasco antes de aspirar.</w:t>
      </w:r>
    </w:p>
    <w:p w:rsidR="00C44D45" w:rsidRPr="00C44D45" w:rsidRDefault="00C44D45" w:rsidP="00C44D45">
      <w:pPr>
        <w:autoSpaceDE w:val="0"/>
        <w:autoSpaceDN w:val="0"/>
        <w:adjustRightInd w:val="0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lang w:eastAsia="pt-BR"/>
        </w:rPr>
        <w:t xml:space="preserve">(   </w:t>
      </w:r>
      <w:proofErr w:type="gramEnd"/>
      <w:r w:rsidRPr="00C44D45">
        <w:rPr>
          <w:rFonts w:ascii="Times New Roman" w:eastAsia="Times New Roman" w:hAnsi="Times New Roman" w:cs="Times New Roman"/>
          <w:lang w:eastAsia="pt-BR"/>
        </w:rPr>
        <w:t>)</w:t>
      </w:r>
      <w:r w:rsidRPr="00C44D45">
        <w:rPr>
          <w:rFonts w:ascii="Times New Roman" w:eastAsia="Times New Roman" w:hAnsi="Times New Roman" w:cs="Times New Roman"/>
          <w:color w:val="252525"/>
          <w:spacing w:val="5"/>
          <w:lang w:eastAsia="pt-BR"/>
        </w:rPr>
        <w:t xml:space="preserve"> A imunização reúne uma série de </w:t>
      </w:r>
      <w:r w:rsidRPr="00C44D45">
        <w:rPr>
          <w:rFonts w:ascii="Times New Roman" w:eastAsia="Times New Roman" w:hAnsi="Times New Roman" w:cs="Times New Roman"/>
          <w:spacing w:val="5"/>
          <w:lang w:eastAsia="pt-BR"/>
        </w:rPr>
        <w:t>cuidados e responsabilidades para os Profissionais de Enfermagem. São vacinas administradas por via intramuscular:</w:t>
      </w:r>
      <w:proofErr w:type="gramStart"/>
      <w:r w:rsidRPr="00C44D45">
        <w:rPr>
          <w:rFonts w:ascii="Times New Roman" w:eastAsia="Times New Roman" w:hAnsi="Times New Roman" w:cs="Times New Roman"/>
          <w:spacing w:val="5"/>
          <w:lang w:eastAsia="pt-BR"/>
        </w:rPr>
        <w:t xml:space="preserve"> </w:t>
      </w:r>
      <w:r w:rsidRPr="00C44D45">
        <w:rPr>
          <w:rFonts w:ascii="Times New Roman" w:eastAsia="Times New Roman" w:hAnsi="Times New Roman" w:cs="Times New Roman"/>
          <w:lang w:eastAsia="pt-BR"/>
        </w:rPr>
        <w:t> </w:t>
      </w:r>
      <w:proofErr w:type="spellStart"/>
      <w:proofErr w:type="gramEnd"/>
      <w:r w:rsidRPr="00C44D45">
        <w:rPr>
          <w:rFonts w:ascii="Times New Roman" w:eastAsia="Times New Roman" w:hAnsi="Times New Roman" w:cs="Times New Roman"/>
          <w:lang w:eastAsia="pt-BR"/>
        </w:rPr>
        <w:t>pentavalente</w:t>
      </w:r>
      <w:proofErr w:type="spellEnd"/>
      <w:r w:rsidRPr="00C44D45">
        <w:rPr>
          <w:rFonts w:ascii="Times New Roman" w:eastAsia="Times New Roman" w:hAnsi="Times New Roman" w:cs="Times New Roman"/>
          <w:lang w:eastAsia="pt-BR"/>
        </w:rPr>
        <w:t xml:space="preserve"> e hepatite A, Febre amarela atenuada e BCG</w:t>
      </w:r>
    </w:p>
    <w:p w:rsidR="00C44D45" w:rsidRPr="00C44D45" w:rsidRDefault="00C44D45" w:rsidP="00C44D45">
      <w:pPr>
        <w:pBdr>
          <w:top w:val="single" w:sz="6" w:space="1" w:color="auto"/>
        </w:pBd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vanish/>
          <w:lang w:eastAsia="pt-BR"/>
        </w:rPr>
      </w:pPr>
      <w:r w:rsidRPr="00C44D45">
        <w:rPr>
          <w:rFonts w:ascii="Times New Roman" w:eastAsia="Times New Roman" w:hAnsi="Times New Roman" w:cs="Times New Roman"/>
          <w:vanish/>
          <w:lang w:eastAsia="pt-BR"/>
        </w:rPr>
        <w:t>Parte inferior do formulário</w:t>
      </w:r>
    </w:p>
    <w:p w:rsidR="00C44D45" w:rsidRPr="00C44D45" w:rsidRDefault="00C44D45" w:rsidP="00C44D45">
      <w:pPr>
        <w:shd w:val="clear" w:color="auto" w:fill="FFFFFF"/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333333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lang w:eastAsia="pt-BR"/>
        </w:rPr>
        <w:t xml:space="preserve">) Há 7 anos, um trabalhador tomou algumas vacinas, mas perdeu os comprovantes. Agora, ele não se recorda se tomou a vacina contra a febre amarela. Nesse caso, </w:t>
      </w:r>
      <w:r w:rsidRPr="00C44D45">
        <w:rPr>
          <w:rFonts w:ascii="Times New Roman" w:eastAsia="Times New Roman" w:hAnsi="Times New Roman" w:cs="Times New Roman"/>
          <w:color w:val="333333"/>
          <w:lang w:eastAsia="pt-BR"/>
        </w:rPr>
        <w:t>o vacinador deverá administrar uma dose única da vacina e recomendar um reforço depois de 10 anos.</w:t>
      </w:r>
    </w:p>
    <w:p w:rsidR="00C44D45" w:rsidRPr="00C44D45" w:rsidRDefault="00C44D45" w:rsidP="00C44D45">
      <w:pPr>
        <w:shd w:val="clear" w:color="auto" w:fill="FFFFFF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color w:val="010202"/>
          <w:lang w:eastAsia="pt-BR"/>
        </w:rPr>
      </w:pPr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 </w:t>
      </w:r>
      <w:proofErr w:type="gramStart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(     </w:t>
      </w:r>
      <w:proofErr w:type="gramEnd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) A vacina BCG, após diluição, é aplicada por via intramuscular, na dose indicada de 0,5ml, na inserção inferior do músculo </w:t>
      </w:r>
      <w:proofErr w:type="spellStart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>deltóide</w:t>
      </w:r>
      <w:proofErr w:type="spellEnd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 do braço direito. </w:t>
      </w:r>
    </w:p>
    <w:p w:rsidR="00C44D45" w:rsidRPr="00C44D45" w:rsidRDefault="00C44D45" w:rsidP="00C44D45">
      <w:pPr>
        <w:shd w:val="clear" w:color="auto" w:fill="FFFFFF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color w:val="010202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(     </w:t>
      </w:r>
      <w:proofErr w:type="gramEnd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) A vacina </w:t>
      </w:r>
      <w:proofErr w:type="spellStart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>Rotavírus</w:t>
      </w:r>
      <w:proofErr w:type="spellEnd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 deve ser administrada via oral, sendo 02 doses com intervalo de, no mínimo, 30 dias, aos 02 e 04 meses. Se a criança regurgitar, cuspir ou vomitar a vacinação, o vacinador deve repedir com uma semana após a vacinação.</w:t>
      </w:r>
    </w:p>
    <w:p w:rsidR="00C44D45" w:rsidRPr="00C44D45" w:rsidRDefault="00C44D45" w:rsidP="00C44D45">
      <w:pPr>
        <w:shd w:val="clear" w:color="auto" w:fill="FFFFFF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color w:val="010202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(     </w:t>
      </w:r>
      <w:proofErr w:type="gramEnd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>) De acordo com o PNI, o 2º reforço da vacina tríplice bacteriana (DTP) em uma criança em dia com o esquema de vacinação deve ser feita aos 6 anos. </w:t>
      </w:r>
    </w:p>
    <w:p w:rsidR="00C44D45" w:rsidRPr="00C44D45" w:rsidRDefault="00C44D45" w:rsidP="00C44D45">
      <w:pPr>
        <w:shd w:val="clear" w:color="auto" w:fill="FFFFFF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color w:val="010202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(   </w:t>
      </w:r>
      <w:proofErr w:type="gramEnd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>) O Calendário Nacional de Vacinação vigente estabelece que ao nascer, preferencialmente na maternidade, o recém-nascido deve receber as vacinas: BCG e febre amarela.</w:t>
      </w:r>
    </w:p>
    <w:p w:rsidR="00C44D45" w:rsidRPr="00C44D45" w:rsidRDefault="00C44D45" w:rsidP="00C44D45">
      <w:pPr>
        <w:shd w:val="clear" w:color="auto" w:fill="FFFFFF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color w:val="010202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>) A proteção após a aplicação de vacinas pode ser imediata.</w:t>
      </w:r>
    </w:p>
    <w:p w:rsidR="00C44D45" w:rsidRPr="00C44D45" w:rsidRDefault="00C44D45" w:rsidP="00C44D45">
      <w:pPr>
        <w:shd w:val="clear" w:color="auto" w:fill="FFFFFF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color w:val="010202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) Os contatos </w:t>
      </w:r>
      <w:proofErr w:type="spellStart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>intradomiciliares</w:t>
      </w:r>
      <w:proofErr w:type="spellEnd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 de portadores de hanseníase maiores de um ano necessitam de uma 2ª dose de BCG.</w:t>
      </w:r>
    </w:p>
    <w:p w:rsidR="00C44D45" w:rsidRPr="00C44D45" w:rsidRDefault="00C44D45" w:rsidP="00C44D45">
      <w:pPr>
        <w:shd w:val="clear" w:color="auto" w:fill="FFFFFF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color w:val="010202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>) Podem ser vacinados com BCG os menores de 2 kg.</w:t>
      </w:r>
    </w:p>
    <w:p w:rsidR="00C44D45" w:rsidRPr="00C44D45" w:rsidRDefault="00C44D45" w:rsidP="00C44D45">
      <w:pPr>
        <w:shd w:val="clear" w:color="auto" w:fill="FFFFFF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b/>
          <w:color w:val="010202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color w:val="010202"/>
          <w:lang w:eastAsia="pt-BR"/>
        </w:rPr>
        <w:t>)De acordo com o calendário de vacinação para gestantes e puérperas, a vacina influenza  pode ser aplicada em qualquer fase da gestação</w:t>
      </w:r>
      <w:r w:rsidRPr="00C44D45">
        <w:rPr>
          <w:rFonts w:ascii="Times New Roman" w:eastAsia="Times New Roman" w:hAnsi="Times New Roman" w:cs="Times New Roman"/>
          <w:b/>
          <w:color w:val="010202"/>
          <w:lang w:eastAsia="pt-BR"/>
        </w:rPr>
        <w:t>.</w:t>
      </w:r>
    </w:p>
    <w:p w:rsidR="00C44D45" w:rsidRPr="00C44D45" w:rsidRDefault="00C44D45" w:rsidP="00C44D45">
      <w:pPr>
        <w:autoSpaceDE w:val="0"/>
        <w:autoSpaceDN w:val="0"/>
        <w:adjustRightInd w:val="0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lang w:eastAsia="pt-BR"/>
        </w:rPr>
        <w:t>) O refrigerador deverá manter uma temperatura de + 2ºC a + 10ºC.</w:t>
      </w:r>
    </w:p>
    <w:p w:rsidR="00C44D45" w:rsidRPr="00C44D45" w:rsidRDefault="00C44D45" w:rsidP="00C44D45">
      <w:pPr>
        <w:autoSpaceDE w:val="0"/>
        <w:autoSpaceDN w:val="0"/>
        <w:adjustRightInd w:val="0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lang w:eastAsia="pt-BR"/>
        </w:rPr>
        <w:t xml:space="preserve">) A vacina </w:t>
      </w:r>
      <w:proofErr w:type="spellStart"/>
      <w:r w:rsidRPr="00C44D45">
        <w:rPr>
          <w:rFonts w:ascii="Times New Roman" w:eastAsia="Times New Roman" w:hAnsi="Times New Roman" w:cs="Times New Roman"/>
          <w:lang w:eastAsia="pt-BR"/>
        </w:rPr>
        <w:t>dT</w:t>
      </w:r>
      <w:proofErr w:type="spellEnd"/>
      <w:r w:rsidRPr="00C44D45">
        <w:rPr>
          <w:rFonts w:ascii="Times New Roman" w:eastAsia="Times New Roman" w:hAnsi="Times New Roman" w:cs="Times New Roman"/>
          <w:lang w:eastAsia="pt-BR"/>
        </w:rPr>
        <w:t xml:space="preserve"> somente deverá ser administrada em pessoas que tenham acima de 7 anos.</w:t>
      </w:r>
    </w:p>
    <w:p w:rsidR="00C44D45" w:rsidRPr="00C44D45" w:rsidRDefault="00C44D45" w:rsidP="00C44D45">
      <w:pPr>
        <w:autoSpaceDE w:val="0"/>
        <w:autoSpaceDN w:val="0"/>
        <w:adjustRightInd w:val="0"/>
        <w:spacing w:after="0" w:line="240" w:lineRule="auto"/>
        <w:ind w:left="-539" w:right="-493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lang w:eastAsia="pt-BR"/>
        </w:rPr>
        <w:t>) A vacina é composta de: líquido de suspensão, conservantes e antibióticos, adjuvantes e o agente etiológico.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lang w:eastAsia="pt-BR"/>
        </w:rPr>
        <w:t xml:space="preserve">(  </w:t>
      </w:r>
      <w:proofErr w:type="gramEnd"/>
      <w:r w:rsidRPr="00C44D45">
        <w:rPr>
          <w:rFonts w:ascii="Times New Roman" w:eastAsia="Times New Roman" w:hAnsi="Times New Roman" w:cs="Times New Roman"/>
          <w:lang w:eastAsia="pt-BR"/>
        </w:rPr>
        <w:t>)</w:t>
      </w:r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Na configuração atual do calendário básico de vacinação da criança, a primeira dose da Vacina Oral contra Poliomielite (VOP), conforme o Programa Nacional de Imunização, deve ser feita aos 2anos de idade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) Vacina contra a febre amarela é constituída de vírus vivos atenuados.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) Vacina para sarampo, caxumba e rubéola (tríplice viral) é de dose única.</w:t>
      </w:r>
    </w:p>
    <w:p w:rsid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) Vacina Tríplice viral contra sarampo, caxumba e rubéola não pode ser administrada em mulheres grávidas.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)  O objetivo da imunização é a prevenção de doenças </w:t>
      </w:r>
      <w:proofErr w:type="spell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imunopreveníveis</w:t>
      </w:r>
      <w:proofErr w:type="spell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 e pode ser ativa, através de vacinas e passiva através da administração de anticorpos.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) Segundo o calendário nacional de vacinação, uma criança deve receber a vacina pneumocócica 10-valente (conjugada) com a idade de 2, 4 e 6 meses e mais uma dose de reforço aos 12 meses.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) Influenza, que está disponível na rede pública nos meses de outono/inverno para os grupos específicos.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) De acordo com o Ministério da Saúde a vacina BCG não provoca reações gerais, como febre ou mal estar, sua reação é no local da aplicação e é de evolução lenta e benigna (variando de indivíduo para indivíduo).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) A vacina de </w:t>
      </w:r>
      <w:proofErr w:type="spell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rotavírus</w:t>
      </w:r>
      <w:proofErr w:type="spell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 Humano consiste em 3 doses.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) Episódio Hipotônico </w:t>
      </w:r>
      <w:proofErr w:type="spell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Hiporresponsivo</w:t>
      </w:r>
      <w:proofErr w:type="spell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 é um evento adverso de instalação súbita e de curta duração que pode ocorrer após a aplicação da vacina </w:t>
      </w:r>
      <w:proofErr w:type="spell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Pentavalente</w:t>
      </w:r>
      <w:proofErr w:type="spell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. Exigem notificação imediata e contraindica a aplicação de dose subsequente.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) Episódio Hipotônico </w:t>
      </w:r>
      <w:proofErr w:type="spell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Hiporresponsivo</w:t>
      </w:r>
      <w:proofErr w:type="spell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 caracteriza-se por hipotensão ou choque associado à urticária, edema de face e </w:t>
      </w:r>
      <w:proofErr w:type="spell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laringoespasmo</w:t>
      </w:r>
      <w:proofErr w:type="spell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) A revolta da vacina ocorreu no período de 1902 a 1906 devido a implantação da vacina da difteria.</w:t>
      </w:r>
    </w:p>
    <w:p w:rsidR="00C44D45" w:rsidRPr="00C44D45" w:rsidRDefault="00C44D45" w:rsidP="00C44D45">
      <w:pPr>
        <w:spacing w:after="0" w:line="240" w:lineRule="auto"/>
        <w:ind w:left="-567" w:right="-283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 xml:space="preserve">(    </w:t>
      </w:r>
      <w:proofErr w:type="gramEnd"/>
      <w:r w:rsidRPr="00C44D45">
        <w:rPr>
          <w:rFonts w:ascii="Times New Roman" w:eastAsia="Times New Roman" w:hAnsi="Times New Roman" w:cs="Times New Roman"/>
          <w:color w:val="000000"/>
          <w:lang w:eastAsia="pt-BR"/>
        </w:rPr>
        <w:t>) Imunidade Natural é a que recebemos através das vacinas e dos soros.</w:t>
      </w:r>
    </w:p>
    <w:sectPr w:rsidR="00C44D45" w:rsidRPr="00C44D45" w:rsidSect="00C44D45">
      <w:pgSz w:w="11906" w:h="16838"/>
      <w:pgMar w:top="1135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45"/>
    <w:rsid w:val="00193702"/>
    <w:rsid w:val="00C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2020-08-18T19:00:00Z</dcterms:created>
  <dcterms:modified xsi:type="dcterms:W3CDTF">2020-08-18T19:05:00Z</dcterms:modified>
</cp:coreProperties>
</file>