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DIREITOS FUNDAMENTAIS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são todos aqueles inerentes ao ser humano, positivados em um código ou lei. Estes direitos, e também garantias, surgiram com o intuito de proteger os cidadãos do poder do Estado através de constituições escritas.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 princípio da dignidade da pessoa humana, por exemplo, expõe que os direitos fundamentais devem garantir o mínimo necessário para que o cidadão tenha uma vida digna.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surgiram em períodos distintos, conforme a demanda de cada época, de maneira progressiva e sequencial nos textos constitucionais, dado origem à classificação em gerações.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Como o surgimento de novas gerações não ocasionou a extinção das anteriores, também se utiliza o termo "dimensão” em vez de “geração”, já que não houve uma sucessão desses direitos, mas sim a coexistência entre eles.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 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CARACTERÍSTICAS DOS DIREITOS FUNDAMENTAIS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As características dos direitos fundamentais são consideradas princípios norteadores, pois antecedem qualquer ordenamento jurídico. São elas: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1- UNIVERSALIDADE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são dirigidos a todo ser humano, sem restrições, independentemente de sua raça, credo, nacionalidade ou convicção política.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2- IMPRESCRITIBILIDADE</w:t>
      </w:r>
    </w:p>
    <w:p w:rsidR="008813B6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não estão sujeitos à prescrição, ou seja, não se perdem com o decorrer do tempo. Entretanto, há direitos que podem ser prescritos, como é o caso da propriedade que poderá ser atingida pela usucapião quando não exercida.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Por não estarem sujeitos à prescrição, os direitos fundamentais podem ser agregados a outros direitos, sem que isso os afete de qualquer forma, não permitindo que os direitos já adquiridos sejam prejudicados ou eliminados.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3 - HISTORICIDADE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são parte de um processo histórico, adquiridos através de inúmeras revoluções no desdobrar-se da história.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4 - IRRENUNCIABILIDADE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são irrenunciáveis pelo titular. Entretanto, existe a possibilidade de renúncia temporária, podendo ser vista, por exemplo, nos programas de televisão conhecidos como reality shows, em que as pessoas participantes, por desejarem receber o prêmio oferecido, renunciam, durante a exibição do programa, à inviolabilidade da imagem, da privacidade e da intimidade.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5 - INALIENABILIDADE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são intransferíveis, inegociáveis e indisponíveis, não podendo ser desertados. Contudo, existe a possibilidade de sua não atuação.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Pode-se exemplificar a inalienabilidade com a distinção entre capacidade de gozo, que são os direitos irrenunciáveis e a capacidade de exercício, onde pode optar por sua execução.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6 - INEXAURIBILIDADE</w:t>
      </w:r>
    </w:p>
    <w:p w:rsidR="008813B6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 artigo 5°, parágrafo segundo da Constituição Federal explica que os direitos e garantias expressos nesta Constituição não excluem outros decorrentes do regime e dos princípios por ela adotados, ou dos tratados internacionais em que a República Federativa do Brasil seja parte.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7 - CONCORRÊNCIA OU INTERDEPENDÊNCIA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interagem entre si, influenciando-se, havendo, assim, uma mútua dependência, visto que seus conteúdos se vinculam e, por vezes, necessitam ser complementados por outros direitos fundamentais.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Exemplificando essa característica, pode-se dizer que a liberdade de locomoção concorre com a garantia do habeas corpus e com o devido processo legal, ou seja, podem ser usadas conjuntamente.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lastRenderedPageBreak/>
        <w:t>8 - APLICABILIDADE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têm aplicabilidade imediata, não podendo, sob nenhuma hipótese, serem postergados. A Constituição Federal determina ser da competência dos poderes públicos a aplicabilidade imediata dos direitos e garantias previstos em lei.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9 - CONSTITUCIONALIZAÇÃO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São os direitos positivados na Constituição de um país. Os direitos fundamentais influem em todo o Direito, não só quando tem por objeto as relações jurídicas dos cidadãos com os poderes públicos, mas também quando regulam as relações jurídi</w:t>
      </w:r>
      <w:r w:rsidR="008813B6" w:rsidRPr="008813B6">
        <w:rPr>
          <w:rFonts w:ascii="Arial" w:hAnsi="Arial" w:cs="Arial"/>
          <w:color w:val="4B4B4B"/>
        </w:rPr>
        <w:t>cas entre os particulares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Em tal medida servem de pauta tanto para o legislador como para as demais instâncias que aplicam o Direito, as quais, ao estabelecer, interpretar e pôr em prática normas jurídicas, deverão ter em conta o efeito dos direitos fundamentais.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10 - VEDAÇÃO AO RETROCESSO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Uma vez estabelecidos, os direitos fundamentais não podem ser protelados. Apesar de o princípio do não-retrocesso social não estar explícito, assim como o direito de resistência e o princípio da dignidade da pessoa humana (para alguns, questão controvertida), tem plena aplicabilidade.</w:t>
      </w:r>
    </w:p>
    <w:p w:rsidR="008813B6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Uma vez que é decorrente do sistema jurídico-constitucional, entende-se que se uma lei, ao regulamentar um mandamento constitucional, instituir determinado direito, ele se incorpora ao patrimônio jurídico da cidadania e não pode ser absolutamente suprimido.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DIREITOS DE PRIMEIRA GERAÇÃO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de primeira geração ou dimensão são os direitos individuais com caráter negativo por exigirem diretamente uma abstenção do Estado, seu principal destinatário.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Alguns exemplos de direitos fundamentais de primeira geração são o direito à vida, à liberdade, à propriedade, à liberdade de expressão, à participação política e religiosa, à inviolabilidade de domicílio, à liberdade de reunião, entre outros.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DIREITOS DE SEGUNDA GERAÇÃO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Ao contrário dos direitos de primeira geração, em que o Estado não deve intervir, nos direitos de segunda geração o Estado passa a ter responsabilidade para a concretização de um ideal de vida digno na sociedade.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Ligados ao valor de igualdade, os direitos fundamentais de segunda dimensão são os direitos sociais, econômicos e culturais. Direitos que, para serem garantidos, necessitam, além da intervenção do Estado, que este disponha de poder pecuniário, seja para criá-las ou executá-las, uma vez que sem o aspecto monetário os direitos de segunda dimensão, não se podem cumprir efetivamente.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DIREITOS DE TERCEIRA GERAÇÃO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Os direitos fundamentais de terceira geração emergiram após a Segunda Guerra Mundial e, ligados aos valores de fraternidade ou solidariedade, são os relacionados ao desenvolvimento ou progresso, ao meio ambiente, à autodeterminação dos povos, bem como ao direito de propriedade sobre o patrimônio comum da humanidade e ao direito de comunicação.</w:t>
      </w:r>
    </w:p>
    <w:p w:rsidR="008813B6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 xml:space="preserve">São direitos </w:t>
      </w:r>
      <w:proofErr w:type="spellStart"/>
      <w:r w:rsidRPr="008813B6">
        <w:rPr>
          <w:rFonts w:ascii="Arial" w:hAnsi="Arial" w:cs="Arial"/>
          <w:color w:val="4B4B4B"/>
        </w:rPr>
        <w:t>transindividuais</w:t>
      </w:r>
      <w:proofErr w:type="spellEnd"/>
      <w:r w:rsidRPr="008813B6">
        <w:rPr>
          <w:rFonts w:ascii="Arial" w:hAnsi="Arial" w:cs="Arial"/>
          <w:color w:val="4B4B4B"/>
        </w:rPr>
        <w:t>, em rol exemplificativo, destinados à proteção do gênero humano. Em caráter de humanismo e universalidade, os direitos fundamentais de terceira geração direcionam-se para a preservação da qualidade de vida, tendo em vista que a globalização a tornou necessária.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t>DIREITOS DE QUARTA GERAÇÃO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Apesar de ser pouco discutido na doutrina, os direitos fundamentais de quarta geração são importantíssimos pois compreendem os direitos à democracia, a informação e ao pluralismo.</w:t>
      </w:r>
    </w:p>
    <w:p w:rsidR="008107EB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Tal direito versa sobre o futuro da cidadania e a proteção da vida a partir da abordagem genética e suas atuais decorrências. Esta imposição de reconhecimento e garantia por parte do Estado se dá porque as normas constitucionais estão em constante interação com a realidade.</w:t>
      </w:r>
    </w:p>
    <w:p w:rsidR="004E5A78" w:rsidRDefault="004E5A78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</w:p>
    <w:p w:rsidR="004E5A78" w:rsidRPr="008813B6" w:rsidRDefault="004E5A78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bookmarkStart w:id="0" w:name="_GoBack"/>
      <w:bookmarkEnd w:id="0"/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b/>
          <w:color w:val="4B4B4B"/>
        </w:rPr>
      </w:pPr>
      <w:r w:rsidRPr="008813B6">
        <w:rPr>
          <w:rStyle w:val="Forte"/>
          <w:rFonts w:ascii="Arial" w:hAnsi="Arial" w:cs="Arial"/>
          <w:b w:val="0"/>
          <w:color w:val="535D74"/>
          <w:bdr w:val="none" w:sz="0" w:space="0" w:color="auto" w:frame="1"/>
        </w:rPr>
        <w:lastRenderedPageBreak/>
        <w:t>CONCLUSÃO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 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15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4B4B4B"/>
        </w:rPr>
        <w:t>Conclui-se, portanto, que tendo consciência de que a dignidade da pessoa humana é um princípio axiológico fundamental e base para elaboração das legislações ao redor do mundo, cada pessoa deve ser tratada com um fim em si mesma e não como objeto, pois ao nascer com vida o indivíduo adquire muito mais que direitos fundamentais, adquire o direito e a garantia de ser. </w:t>
      </w:r>
    </w:p>
    <w:p w:rsidR="008107EB" w:rsidRPr="008813B6" w:rsidRDefault="008107EB" w:rsidP="008813B6">
      <w:pPr>
        <w:pStyle w:val="NormalWeb"/>
        <w:shd w:val="clear" w:color="auto" w:fill="FFFFFF"/>
        <w:spacing w:before="0" w:beforeAutospacing="0" w:after="0" w:afterAutospacing="0" w:line="270" w:lineRule="atLeast"/>
        <w:ind w:right="-307"/>
        <w:jc w:val="both"/>
        <w:textAlignment w:val="baseline"/>
        <w:rPr>
          <w:rFonts w:ascii="Arial" w:hAnsi="Arial" w:cs="Arial"/>
          <w:color w:val="4B4B4B"/>
        </w:rPr>
      </w:pPr>
      <w:r w:rsidRPr="008813B6">
        <w:rPr>
          <w:rFonts w:ascii="Arial" w:hAnsi="Arial" w:cs="Arial"/>
          <w:color w:val="535D74"/>
          <w:bdr w:val="none" w:sz="0" w:space="0" w:color="auto" w:frame="1"/>
        </w:rPr>
        <w:t>Conteúdo produzido pela LFG, referência nacional em cursos preparatórios para concursos públicos e Exames da OAB, além de oferecer cursos de pós-graduação jurídica e MBA.</w:t>
      </w:r>
    </w:p>
    <w:p w:rsidR="00B638A8" w:rsidRPr="008813B6" w:rsidRDefault="004E5A78" w:rsidP="008813B6">
      <w:pPr>
        <w:ind w:right="-307"/>
        <w:jc w:val="both"/>
        <w:rPr>
          <w:rFonts w:ascii="Arial" w:hAnsi="Arial" w:cs="Arial"/>
          <w:sz w:val="24"/>
          <w:szCs w:val="24"/>
        </w:rPr>
      </w:pPr>
    </w:p>
    <w:sectPr w:rsidR="00B638A8" w:rsidRPr="008813B6" w:rsidSect="004E5A7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EB"/>
    <w:rsid w:val="00477AC2"/>
    <w:rsid w:val="004E5A78"/>
    <w:rsid w:val="008107EB"/>
    <w:rsid w:val="008813B6"/>
    <w:rsid w:val="00B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4789-ADE4-4B27-A4C0-4542DF2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7E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2018-08-24T18:17:00Z</cp:lastPrinted>
  <dcterms:created xsi:type="dcterms:W3CDTF">2018-08-24T16:17:00Z</dcterms:created>
  <dcterms:modified xsi:type="dcterms:W3CDTF">2018-08-24T18:18:00Z</dcterms:modified>
</cp:coreProperties>
</file>