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7" w:rsidRDefault="00B26F27" w:rsidP="00B26F27">
      <w:pPr>
        <w:pStyle w:val="TODOSOSPARGRAFOS"/>
        <w:numPr>
          <w:ilvl w:val="12"/>
          <w:numId w:val="0"/>
        </w:numPr>
        <w:spacing w:before="120" w:after="0"/>
        <w:jc w:val="center"/>
        <w:rPr>
          <w:b/>
        </w:rPr>
      </w:pPr>
      <w:bookmarkStart w:id="0" w:name="_GoBack"/>
      <w:bookmarkEnd w:id="0"/>
      <w:r>
        <w:rPr>
          <w:b/>
        </w:rPr>
        <w:t>Quadro  – TABELA DE RISCOS OCUPACIONAIS</w:t>
      </w:r>
    </w:p>
    <w:p w:rsidR="00B26F27" w:rsidRDefault="00B26F27" w:rsidP="00B26F27">
      <w:pPr>
        <w:pStyle w:val="TODOSOSPARGRAFOS"/>
        <w:numPr>
          <w:ilvl w:val="12"/>
          <w:numId w:val="0"/>
        </w:numPr>
        <w:spacing w:before="120" w:after="0"/>
        <w:jc w:val="center"/>
        <w:rPr>
          <w:b/>
          <w:sz w:val="20"/>
        </w:rPr>
      </w:pPr>
    </w:p>
    <w:tbl>
      <w:tblPr>
        <w:tblW w:w="9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2"/>
        <w:gridCol w:w="2992"/>
        <w:gridCol w:w="935"/>
        <w:gridCol w:w="3553"/>
        <w:gridCol w:w="935"/>
      </w:tblGrid>
      <w:tr w:rsidR="00B26F27" w:rsidTr="008A241C">
        <w:tc>
          <w:tcPr>
            <w:tcW w:w="104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RISCOS</w:t>
            </w: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ind w:left="-10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DESCRIÇÃO DOS PERIGOS/ AGENTES 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DANOS À  SAÚDE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FÍSICOS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Ruído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AF-01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Perda ou diminuição gradual da audição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DI-01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Vibrações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AF-02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Inflamação de Articulação, Tendão ou músculo.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DI-02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Distúrbios de equilíbrio (tonteiras, náuseas)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DI-03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Radiações Ionizantes  (inclusive raio X hospitalar)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AF-03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Efeitos gastrintestinais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DI-05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Efeitos nas células sanguíneas ou tecidos (câncer)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DI-06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Radiações não Ionizantes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AF-04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Dematoses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Formação de cataratas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DI-08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Frio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AF-05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 por frio e outros efeitos da exposição à baixa temperatura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DI-09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Calor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AF-06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 xml:space="preserve">Intermação e/ou Insolação, 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DI-10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Pressão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AF-07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Perda ou diminuição dos sentidos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DI-11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  <w:lang w:val="pt-BR"/>
              </w:rPr>
              <w:t>Umidade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AF-08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infecto-contagiosas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DI-12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DI-07</w:t>
            </w:r>
          </w:p>
        </w:tc>
      </w:tr>
      <w:tr w:rsidR="00B26F27" w:rsidTr="008A241C">
        <w:tc>
          <w:tcPr>
            <w:tcW w:w="104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Atmosfera inerte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AF-09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  <w:r>
              <w:rPr>
                <w:sz w:val="16"/>
              </w:rPr>
              <w:t>Asfixia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DI-13</w:t>
            </w:r>
          </w:p>
        </w:tc>
      </w:tr>
      <w:tr w:rsidR="00B26F27" w:rsidTr="008A241C">
        <w:tc>
          <w:tcPr>
            <w:tcW w:w="104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QUÍMICOS</w:t>
            </w: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Fumos metálicos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AQ-01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respiratórias (pneumoconioses, asma)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Poeiras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AQ-02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respiratórias (pneumoconioses, asma)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Fibras vegetais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AQ-03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respiratórias (pneumoconioses, asma)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Fibras minerais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AQ-04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respiratórias (pneumoconioses)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DI-15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Câncer no pulmão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DI-16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Névoas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AQ-05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Intoxicação por inalação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Neblinas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AQ-06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Intoxicação por inalação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Gases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AQ-07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Intoxicação por inalação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Vapores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AQ-08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Intoxicação por inalação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Óleos lubrificantes e graxas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AQ-09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Líquidos ácidos ou cáusticos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AQ-10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Solventes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AQ-11</w:t>
            </w:r>
          </w:p>
        </w:tc>
        <w:tc>
          <w:tcPr>
            <w:tcW w:w="3553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DI-07</w:t>
            </w:r>
          </w:p>
        </w:tc>
      </w:tr>
      <w:tr w:rsidR="00B26F27" w:rsidTr="008A241C">
        <w:tc>
          <w:tcPr>
            <w:tcW w:w="1042" w:type="dxa"/>
            <w:tcBorders>
              <w:top w:val="single" w:sz="4" w:space="0" w:color="auto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BIOLÓGICOS</w:t>
            </w:r>
          </w:p>
        </w:tc>
        <w:tc>
          <w:tcPr>
            <w:tcW w:w="2992" w:type="dxa"/>
            <w:tcBorders>
              <w:top w:val="single" w:sz="4" w:space="0" w:color="auto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color w:val="000000"/>
                <w:sz w:val="18"/>
              </w:rPr>
            </w:pPr>
            <w:r>
              <w:rPr>
                <w:color w:val="000000"/>
                <w:sz w:val="16"/>
              </w:rPr>
              <w:t>Microorganismos (Vírus, Bactérias, Protozoários, Fungos e Parasitas): ambientes pouco ventilados/úmidos, falta de higiene dos locais de trabalho (banheiros e copas), uso de EPI compartilhado, águas paradas e/ou contaminadas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AB-01</w:t>
            </w:r>
          </w:p>
        </w:tc>
        <w:tc>
          <w:tcPr>
            <w:tcW w:w="3553" w:type="dxa"/>
            <w:tcBorders>
              <w:top w:val="single" w:sz="4" w:space="0" w:color="auto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respiratórias (viroses)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DI-18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infecto-contagiosas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DI-12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numPr>
                <w:ilvl w:val="12"/>
                <w:numId w:val="0"/>
              </w:numPr>
              <w:ind w:left="45" w:right="-108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Presença ou infestação de vetores (insetos)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AB-02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respiratórias (viroses)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DI-18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infecto-contagiosas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DI-12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Coleta de lixo hospitalar, Troca de roupas hospitalares contaminadas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AB-03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infecto-contagiosas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DI-12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Lesões/ferimentos pérfuro-cortantes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DI-19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Laboratório de análises clinicas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AB-04</w:t>
            </w: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Lesões/ferimentos pérfuro-cortantes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DI-19</w:t>
            </w:r>
          </w:p>
        </w:tc>
      </w:tr>
      <w:tr w:rsidR="00B26F27" w:rsidTr="008A241C">
        <w:trPr>
          <w:trHeight w:val="372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numPr>
                <w:ilvl w:val="12"/>
                <w:numId w:val="0"/>
              </w:numPr>
              <w:rPr>
                <w:b/>
                <w:sz w:val="16"/>
                <w:lang w:val="pt-BR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Atendimento de saúde ocupacional: contatos com pessoas debilitadas e exposição aos fluidos orgânicos dos empregados, Atendimento nas emergências e urgências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AB-05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Doenças respiratórias (viroses)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DI-18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Fadiga física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DI-20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Fadiga psíquica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DI-21</w:t>
            </w:r>
          </w:p>
        </w:tc>
      </w:tr>
      <w:tr w:rsidR="00B26F27" w:rsidTr="008A241C">
        <w:trPr>
          <w:trHeight w:val="265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Lesões/ferimentos pérfuro-cortantes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DI-19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numPr>
                <w:ilvl w:val="12"/>
                <w:numId w:val="0"/>
              </w:numPr>
              <w:rPr>
                <w:color w:val="000000"/>
                <w:sz w:val="16"/>
                <w:lang w:val="pt-BR"/>
              </w:rPr>
            </w:pPr>
            <w:r>
              <w:rPr>
                <w:color w:val="000000"/>
                <w:sz w:val="16"/>
                <w:lang w:val="pt-BR"/>
              </w:rPr>
              <w:t>Limpeza, desinfeção e esterilização de materiais</w:t>
            </w:r>
            <w:proofErr w:type="gramStart"/>
            <w:r>
              <w:rPr>
                <w:color w:val="000000"/>
                <w:sz w:val="16"/>
                <w:lang w:val="pt-BR"/>
              </w:rPr>
              <w:t xml:space="preserve">  </w:t>
            </w:r>
            <w:proofErr w:type="gramEnd"/>
            <w:r>
              <w:rPr>
                <w:color w:val="000000"/>
                <w:sz w:val="16"/>
                <w:lang w:val="pt-BR"/>
              </w:rPr>
              <w:t xml:space="preserve">hospitalares. </w:t>
            </w:r>
          </w:p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AQ-06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numPr>
                <w:ilvl w:val="12"/>
                <w:numId w:val="0"/>
              </w:numPr>
              <w:rPr>
                <w:color w:val="000000"/>
                <w:sz w:val="16"/>
                <w:lang w:val="pt-BR"/>
              </w:rPr>
            </w:pPr>
            <w:proofErr w:type="spellStart"/>
            <w:r>
              <w:rPr>
                <w:color w:val="000000"/>
                <w:sz w:val="16"/>
                <w:lang w:val="pt-BR"/>
              </w:rPr>
              <w:t>Anti-sépticos</w:t>
            </w:r>
            <w:proofErr w:type="spellEnd"/>
            <w:r>
              <w:rPr>
                <w:color w:val="000000"/>
                <w:sz w:val="16"/>
                <w:lang w:val="pt-BR"/>
              </w:rPr>
              <w:t xml:space="preserve">, </w:t>
            </w:r>
            <w:proofErr w:type="spellStart"/>
            <w:r>
              <w:rPr>
                <w:color w:val="000000"/>
                <w:sz w:val="16"/>
                <w:lang w:val="pt-BR"/>
              </w:rPr>
              <w:t>degermantes</w:t>
            </w:r>
            <w:proofErr w:type="spellEnd"/>
            <w:r>
              <w:rPr>
                <w:color w:val="000000"/>
                <w:sz w:val="16"/>
                <w:lang w:val="pt-BR"/>
              </w:rPr>
              <w:t xml:space="preserve"> e medicamentos</w:t>
            </w:r>
          </w:p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AQ-07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Dermatoses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DI-04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Acidentes com Equipamentos hospitalares contaminados: autoclaves, aspirador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AQ-08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Lesões/ferimentos pérfuro-cortantes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DI-19</w:t>
            </w:r>
          </w:p>
        </w:tc>
      </w:tr>
      <w:tr w:rsidR="00B26F27" w:rsidTr="008A241C">
        <w:tc>
          <w:tcPr>
            <w:tcW w:w="104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Consumo de alimentos contaminados e/ou deteriorados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AQ-10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Distúrbios gastrintestinais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DI-22</w:t>
            </w:r>
          </w:p>
        </w:tc>
      </w:tr>
      <w:tr w:rsidR="00B26F27" w:rsidTr="008A241C">
        <w:tc>
          <w:tcPr>
            <w:tcW w:w="104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ERGONÔMI-COS</w:t>
            </w: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Levantamento, transporte manual de carga  e descarga de materiais com sobrecarga osteomuscular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RE-01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Fadiga física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DI-20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Cervicalgia e/ou Lombalgia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DI-23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Distensão muscular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numPr>
                <w:ilvl w:val="12"/>
                <w:numId w:val="0"/>
              </w:numPr>
              <w:rPr>
                <w:b/>
                <w:sz w:val="16"/>
                <w:lang w:val="pt-BR"/>
              </w:rPr>
            </w:pPr>
            <w:r>
              <w:rPr>
                <w:sz w:val="16"/>
                <w:lang w:val="pt-BR"/>
              </w:rPr>
              <w:t>Mobiliário inadequado e postura incômoda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RE-02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Fadiga física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DI-20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color w:val="000000"/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Cervicalgia e/ou Lombalgia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DI-23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B26F27" w:rsidRDefault="00B26F27" w:rsidP="008A241C">
            <w:pPr>
              <w:rPr>
                <w:color w:val="000000"/>
                <w:sz w:val="16"/>
                <w:lang w:val="pt-BR"/>
              </w:rPr>
            </w:pPr>
            <w:r>
              <w:rPr>
                <w:color w:val="000000"/>
                <w:sz w:val="16"/>
                <w:lang w:val="pt-BR"/>
              </w:rPr>
              <w:t>Desconforto térmico (abaixo de 20ºC e acima de 23ºC)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RE-03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Doenças respiratórias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DI-25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</w:p>
          <w:p w:rsidR="00B26F27" w:rsidRDefault="00B26F27" w:rsidP="008A241C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Desconforto acústico (acima de 65 dB)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26F27" w:rsidRDefault="00B26F27" w:rsidP="008A241C">
            <w:pPr>
              <w:jc w:val="center"/>
              <w:rPr>
                <w:b/>
                <w:bCs/>
                <w:sz w:val="16"/>
                <w:lang w:val="pt-BR"/>
              </w:rPr>
            </w:pPr>
          </w:p>
          <w:p w:rsidR="00B26F27" w:rsidRDefault="00B26F27" w:rsidP="008A241C">
            <w:pPr>
              <w:jc w:val="center"/>
              <w:rPr>
                <w:b/>
                <w:bCs/>
                <w:sz w:val="16"/>
                <w:lang w:val="pt-BR"/>
              </w:rPr>
            </w:pPr>
            <w:r>
              <w:rPr>
                <w:b/>
                <w:bCs/>
                <w:sz w:val="16"/>
                <w:lang w:val="pt-BR"/>
              </w:rPr>
              <w:t>RE-04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</w:p>
          <w:p w:rsidR="00B26F27" w:rsidRDefault="00B26F27" w:rsidP="008A241C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Fadiga psíquica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</w:p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DI-26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Iluminação: reflexo/ ofuscamento/contraste (tela, piso, parede, mobiliário)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RE-05</w:t>
            </w: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Fadiga visual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color w:val="000000"/>
                <w:sz w:val="16"/>
                <w:lang w:val="pt-BR"/>
              </w:rPr>
            </w:pPr>
            <w:r>
              <w:rPr>
                <w:color w:val="000000"/>
                <w:sz w:val="16"/>
                <w:lang w:val="pt-BR"/>
              </w:rPr>
              <w:t>Digitação, trabalhos em terminais de vídeo computador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RE-06</w:t>
            </w: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Doenças </w:t>
            </w:r>
            <w:proofErr w:type="spellStart"/>
            <w:r>
              <w:rPr>
                <w:sz w:val="16"/>
                <w:lang w:val="pt-BR"/>
              </w:rPr>
              <w:t>Ósteo-musculares</w:t>
            </w:r>
            <w:proofErr w:type="spellEnd"/>
            <w:r>
              <w:rPr>
                <w:sz w:val="16"/>
                <w:lang w:val="pt-BR"/>
              </w:rPr>
              <w:t xml:space="preserve"> relacionadas ao trabalho (DORT) ou</w:t>
            </w:r>
            <w:proofErr w:type="gramStart"/>
            <w:r>
              <w:rPr>
                <w:sz w:val="16"/>
                <w:lang w:val="pt-BR"/>
              </w:rPr>
              <w:t xml:space="preserve">  </w:t>
            </w:r>
            <w:proofErr w:type="gramEnd"/>
            <w:r>
              <w:rPr>
                <w:sz w:val="16"/>
                <w:lang w:val="pt-BR"/>
              </w:rPr>
              <w:t>Lesões por esforços repetitivos (LER)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DI-28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color w:val="000000"/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Fadiga visual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DI-27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Arranjo físico/leiaute inadequados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RE-07</w:t>
            </w:r>
          </w:p>
        </w:tc>
        <w:tc>
          <w:tcPr>
            <w:tcW w:w="3553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Lesões/ferimentos pérfuro-cortantes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DI-19</w:t>
            </w:r>
          </w:p>
        </w:tc>
      </w:tr>
      <w:tr w:rsidR="00B26F27" w:rsidTr="008A241C">
        <w:tc>
          <w:tcPr>
            <w:tcW w:w="104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Monotonia e repetitividade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RE-08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Fadiga psíquica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DI-26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color w:val="000000"/>
                <w:sz w:val="16"/>
                <w:lang w:val="pt-BR"/>
              </w:rPr>
            </w:pPr>
            <w:r>
              <w:rPr>
                <w:color w:val="000000"/>
                <w:sz w:val="16"/>
                <w:lang w:val="pt-BR"/>
              </w:rPr>
              <w:t xml:space="preserve">Equipamentos que exigem: esforço físico intenso e </w:t>
            </w:r>
            <w:proofErr w:type="spellStart"/>
            <w:r>
              <w:rPr>
                <w:color w:val="000000"/>
                <w:sz w:val="16"/>
                <w:lang w:val="pt-BR"/>
              </w:rPr>
              <w:t>freqüente</w:t>
            </w:r>
            <w:proofErr w:type="spellEnd"/>
            <w:r>
              <w:rPr>
                <w:color w:val="000000"/>
                <w:sz w:val="16"/>
                <w:lang w:val="pt-BR"/>
              </w:rPr>
              <w:t xml:space="preserve"> Postura inadequada/incômoda, Dimensões dos comandos (</w:t>
            </w:r>
            <w:proofErr w:type="spellStart"/>
            <w:r>
              <w:rPr>
                <w:color w:val="000000"/>
                <w:sz w:val="16"/>
                <w:lang w:val="pt-BR"/>
              </w:rPr>
              <w:t>ex</w:t>
            </w:r>
            <w:proofErr w:type="spellEnd"/>
            <w:r>
              <w:rPr>
                <w:color w:val="000000"/>
                <w:sz w:val="16"/>
                <w:lang w:val="pt-BR"/>
              </w:rPr>
              <w:t>: válvulas)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RE-10</w:t>
            </w: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Fadiga física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DI-20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color w:val="000000"/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Cervicalgia e/ou Lombalgia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DI-23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color w:val="000000"/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Distensão muscular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DI-24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Sinalização inadequada dos comandos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RE-11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Lesões/ferimentos pérfuro-cortantes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DI-19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rPr>
                <w:color w:val="000000"/>
                <w:sz w:val="16"/>
                <w:lang w:val="pt-BR"/>
              </w:rPr>
            </w:pPr>
            <w:r>
              <w:rPr>
                <w:color w:val="000000"/>
                <w:sz w:val="16"/>
                <w:lang w:val="pt-BR"/>
              </w:rPr>
              <w:t xml:space="preserve">Organização do trabalho: </w:t>
            </w:r>
            <w:proofErr w:type="gramStart"/>
            <w:r>
              <w:rPr>
                <w:color w:val="000000"/>
                <w:sz w:val="16"/>
                <w:lang w:val="pt-BR"/>
              </w:rPr>
              <w:t>exigência de tempo, ritmo de trabalho intenso, pausas</w:t>
            </w:r>
            <w:proofErr w:type="gramEnd"/>
            <w:r>
              <w:rPr>
                <w:color w:val="000000"/>
                <w:sz w:val="16"/>
                <w:lang w:val="pt-BR"/>
              </w:rPr>
              <w:t xml:space="preserve"> não definidas para descanso, excesso de tarefas, treinamentos, métodos de trabalho estabelecidos, trabalhos em turnos,...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RE-12</w:t>
            </w: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Fadiga psíquica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DI-26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color w:val="000000"/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Fadiga física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DI-20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color w:val="000000"/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 xml:space="preserve">Distúrbios do sono 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DI-29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color w:val="000000"/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Distúrbios gastrintestinais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DI-22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color w:val="000000"/>
                <w:sz w:val="16"/>
                <w:lang w:val="pt-BR"/>
              </w:rPr>
            </w:pPr>
            <w:r>
              <w:rPr>
                <w:color w:val="000000"/>
                <w:sz w:val="16"/>
                <w:lang w:val="pt-BR"/>
              </w:rPr>
              <w:t>Transporte em veículos: desconforto/postura incômoda, ruído, condições de segurança.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RE-13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rPr>
                <w:sz w:val="16"/>
                <w:lang w:val="pt-BR"/>
              </w:rPr>
            </w:pPr>
            <w:proofErr w:type="spellStart"/>
            <w:r>
              <w:rPr>
                <w:sz w:val="16"/>
                <w:lang w:val="pt-BR"/>
              </w:rPr>
              <w:t>Cervicalgia</w:t>
            </w:r>
            <w:proofErr w:type="spellEnd"/>
            <w:r>
              <w:rPr>
                <w:sz w:val="16"/>
                <w:lang w:val="pt-BR"/>
              </w:rPr>
              <w:t xml:space="preserve"> e/ou Lombalgia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DI-23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color w:val="000000"/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Fadiga psíquica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DI-26</w:t>
            </w:r>
          </w:p>
        </w:tc>
      </w:tr>
      <w:tr w:rsidR="00B26F27" w:rsidTr="008A241C"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Lesões/ferimentos pérfuro-cortantes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DI-19</w:t>
            </w:r>
          </w:p>
        </w:tc>
      </w:tr>
      <w:tr w:rsidR="00B26F27" w:rsidTr="008A241C">
        <w:tc>
          <w:tcPr>
            <w:tcW w:w="104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ACIDENTES</w:t>
            </w: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  <w:r>
              <w:rPr>
                <w:sz w:val="16"/>
              </w:rPr>
              <w:t>Arranjo físico inadequado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RA-01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Escoriações, Abrasão (Ferimento superficial)</w:t>
            </w:r>
          </w:p>
        </w:tc>
        <w:tc>
          <w:tcPr>
            <w:tcW w:w="935" w:type="dxa"/>
            <w:tcBorders>
              <w:left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RI-01</w:t>
            </w:r>
          </w:p>
        </w:tc>
      </w:tr>
      <w:tr w:rsidR="00B26F27" w:rsidTr="008A241C">
        <w:trPr>
          <w:trHeight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  <w:r>
              <w:rPr>
                <w:sz w:val="16"/>
              </w:rPr>
              <w:t>Superfície escorregadia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RA-02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Corte, laceração, ferida contusa, punctura (ferida aberta)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RI-02</w:t>
            </w:r>
          </w:p>
        </w:tc>
      </w:tr>
      <w:tr w:rsidR="00B26F27" w:rsidTr="008A241C">
        <w:trPr>
          <w:trHeight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  <w:r>
              <w:rPr>
                <w:sz w:val="16"/>
              </w:rPr>
              <w:t>Máquinas e Equipamentos sem proteção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RA-03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Contusão, esmagamento (superfície cutânea intacta)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RI-03</w:t>
            </w:r>
          </w:p>
        </w:tc>
      </w:tr>
      <w:tr w:rsidR="00B26F27" w:rsidTr="008A241C">
        <w:trPr>
          <w:trHeight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single" w:sz="6" w:space="0" w:color="auto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  <w:r>
              <w:rPr>
                <w:sz w:val="16"/>
              </w:rPr>
              <w:t>Ferramentas Inadequadas ou defeituosas</w:t>
            </w:r>
          </w:p>
        </w:tc>
        <w:tc>
          <w:tcPr>
            <w:tcW w:w="935" w:type="dxa"/>
            <w:tcBorders>
              <w:top w:val="single" w:sz="6" w:space="0" w:color="auto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RA-04</w:t>
            </w:r>
          </w:p>
        </w:tc>
        <w:tc>
          <w:tcPr>
            <w:tcW w:w="3553" w:type="dxa"/>
            <w:tcBorders>
              <w:top w:val="single" w:sz="6" w:space="0" w:color="auto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Distensão, Torção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RI-04</w:t>
            </w:r>
          </w:p>
        </w:tc>
      </w:tr>
      <w:tr w:rsidR="00B26F27" w:rsidTr="008A241C">
        <w:trPr>
          <w:trHeight w:val="20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single" w:sz="6" w:space="0" w:color="auto"/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  <w:r>
              <w:rPr>
                <w:sz w:val="16"/>
              </w:rPr>
              <w:t>Queda de ferramentas, materiais e equipamentos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RA-05</w:t>
            </w:r>
          </w:p>
        </w:tc>
        <w:tc>
          <w:tcPr>
            <w:tcW w:w="3553" w:type="dxa"/>
            <w:tcBorders>
              <w:top w:val="single" w:sz="6" w:space="0" w:color="auto"/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Inflamação de Articulação, Tendão ou músculo.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RI-05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single" w:sz="6" w:space="0" w:color="auto"/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  <w:r>
              <w:rPr>
                <w:sz w:val="16"/>
              </w:rPr>
              <w:t>Iluminação inadequada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RA-06</w:t>
            </w:r>
          </w:p>
        </w:tc>
        <w:tc>
          <w:tcPr>
            <w:tcW w:w="3553" w:type="dxa"/>
            <w:tcBorders>
              <w:top w:val="single" w:sz="6" w:space="0" w:color="auto"/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Luxação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RI-06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Fratura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RI-07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Lesão imediata (identificar tipo)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RI-19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4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  <w:r>
              <w:rPr>
                <w:sz w:val="16"/>
              </w:rPr>
              <w:t>Eletricidade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RA-07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 ou escaldadura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RI-08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left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 xml:space="preserve">Choque elétrico 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RI-14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Armazenamento inadequado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RA-08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Corte, laceração, ferida contusa, punctura (ferida aberta)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RI-02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numPr>
                <w:ilvl w:val="12"/>
                <w:numId w:val="0"/>
              </w:numPr>
              <w:rPr>
                <w:b/>
                <w:sz w:val="16"/>
                <w:lang w:val="pt-BR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Contusão, esmagamento (superfície cutânea intacta)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RI-03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Inflamação de Articulação, Tendão ou músculo.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RI-05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 xml:space="preserve">Lesão imediata (identificar tipo) 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RI-19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Animais peçonhentos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RA-09</w:t>
            </w: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Intoxicação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RI-23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Trabalho em altura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RA-10</w:t>
            </w: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Corte, laceração, ferida contusa, punctura (ferida aberta)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RI-02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Luxação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RI-06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Fratura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RI-07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numPr>
                <w:ilvl w:val="12"/>
                <w:numId w:val="0"/>
              </w:numPr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Concussão Cerebral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RI-18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Lesão imediata (identificar tipo)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RI-19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Trabalho a quente ou com fogo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RA-11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 ou escaldadura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RI-08</w:t>
            </w:r>
          </w:p>
        </w:tc>
      </w:tr>
      <w:tr w:rsidR="00B26F27" w:rsidTr="008A241C">
        <w:trPr>
          <w:trHeight w:val="20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Intermação, insolação, câimbra, exaustão e outros efeitos da temperatura ambiente elevada.</w:t>
            </w:r>
          </w:p>
        </w:tc>
        <w:tc>
          <w:tcPr>
            <w:tcW w:w="935" w:type="dxa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RI-13</w:t>
            </w:r>
          </w:p>
        </w:tc>
      </w:tr>
      <w:tr w:rsidR="00B26F27" w:rsidTr="008A241C">
        <w:trPr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Outros (Indicar tipo)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RA-12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B26F27" w:rsidTr="008A241C">
        <w:trPr>
          <w:cantSplit/>
          <w:trHeight w:hRule="exact" w:val="598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vMerge w:val="restart"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  <w:r>
              <w:rPr>
                <w:sz w:val="16"/>
              </w:rPr>
              <w:t>Trabalho em equipamento pressurizado</w:t>
            </w:r>
          </w:p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RA-13</w:t>
            </w:r>
          </w:p>
        </w:tc>
        <w:tc>
          <w:tcPr>
            <w:tcW w:w="3553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Corte, laceração, ferida contusa, punctura (ferida aberta).</w:t>
            </w:r>
          </w:p>
        </w:tc>
        <w:tc>
          <w:tcPr>
            <w:tcW w:w="935" w:type="dxa"/>
            <w:tcBorders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RI-02</w:t>
            </w:r>
          </w:p>
        </w:tc>
      </w:tr>
      <w:tr w:rsidR="00B26F27" w:rsidTr="008A241C">
        <w:trPr>
          <w:cantSplit/>
          <w:trHeight w:hRule="exact" w:val="536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vMerge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Contusão, esmagamento (superfície cutânea intacta)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RI-03</w:t>
            </w:r>
          </w:p>
        </w:tc>
      </w:tr>
      <w:tr w:rsidR="00B26F27" w:rsidTr="008A241C">
        <w:trPr>
          <w:cantSplit/>
          <w:trHeight w:hRule="exact" w:val="340"/>
        </w:trPr>
        <w:tc>
          <w:tcPr>
            <w:tcW w:w="1042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vMerge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Fratura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RI-07</w:t>
            </w:r>
          </w:p>
        </w:tc>
      </w:tr>
      <w:tr w:rsidR="00B26F27" w:rsidTr="008A241C">
        <w:trPr>
          <w:cantSplit/>
          <w:trHeight w:hRule="exact" w:val="340"/>
        </w:trPr>
        <w:tc>
          <w:tcPr>
            <w:tcW w:w="1042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60"/>
              <w:jc w:val="center"/>
              <w:rPr>
                <w:b/>
                <w:sz w:val="16"/>
              </w:rPr>
            </w:pPr>
          </w:p>
        </w:tc>
        <w:tc>
          <w:tcPr>
            <w:tcW w:w="2992" w:type="dxa"/>
            <w:vMerge/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rPr>
                <w:sz w:val="16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rPr>
                <w:sz w:val="16"/>
              </w:rPr>
            </w:pPr>
            <w:r>
              <w:rPr>
                <w:sz w:val="16"/>
              </w:rPr>
              <w:t>Queimadura Química</w:t>
            </w:r>
          </w:p>
        </w:tc>
        <w:tc>
          <w:tcPr>
            <w:tcW w:w="935" w:type="dxa"/>
            <w:tcBorders>
              <w:top w:val="nil"/>
            </w:tcBorders>
          </w:tcPr>
          <w:p w:rsidR="00B26F27" w:rsidRDefault="00B26F27" w:rsidP="008A241C">
            <w:pPr>
              <w:pStyle w:val="TODOSOSPARGRAFOS"/>
              <w:numPr>
                <w:ilvl w:val="12"/>
                <w:numId w:val="0"/>
              </w:numPr>
              <w:spacing w:before="12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RI-09</w:t>
            </w:r>
          </w:p>
        </w:tc>
      </w:tr>
    </w:tbl>
    <w:p w:rsidR="00B26F27" w:rsidRDefault="00B26F27" w:rsidP="00B26F27">
      <w:pPr>
        <w:pStyle w:val="ABNT"/>
      </w:pPr>
    </w:p>
    <w:p w:rsidR="00E5131C" w:rsidRDefault="00BC67D0"/>
    <w:sectPr w:rsidR="00E51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27"/>
    <w:rsid w:val="003A4E07"/>
    <w:rsid w:val="00B26F27"/>
    <w:rsid w:val="00BC67D0"/>
    <w:rsid w:val="00C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qFormat/>
    <w:rsid w:val="00B26F27"/>
    <w:pPr>
      <w:keepNext/>
      <w:numPr>
        <w:ilvl w:val="12"/>
      </w:numPr>
      <w:jc w:val="center"/>
      <w:outlineLvl w:val="3"/>
    </w:pPr>
    <w:rPr>
      <w:rFonts w:ascii="Arial" w:hAnsi="Arial"/>
      <w:b/>
      <w:sz w:val="1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26F27"/>
    <w:rPr>
      <w:rFonts w:ascii="Arial" w:eastAsia="Times New Roman" w:hAnsi="Arial" w:cs="Times New Roman"/>
      <w:b/>
      <w:sz w:val="16"/>
      <w:szCs w:val="24"/>
      <w:lang w:eastAsia="pt-BR"/>
    </w:rPr>
  </w:style>
  <w:style w:type="paragraph" w:customStyle="1" w:styleId="ABNT">
    <w:name w:val="ABNT"/>
    <w:basedOn w:val="Normal"/>
    <w:rsid w:val="00B26F27"/>
    <w:pPr>
      <w:spacing w:line="480" w:lineRule="auto"/>
      <w:ind w:firstLine="851"/>
      <w:jc w:val="both"/>
    </w:pPr>
    <w:rPr>
      <w:rFonts w:ascii="Arial" w:hAnsi="Arial"/>
      <w:lang w:val="pt-BR" w:eastAsia="pt-BR"/>
    </w:rPr>
  </w:style>
  <w:style w:type="paragraph" w:customStyle="1" w:styleId="TODOSOSPARGRAFOS">
    <w:name w:val="TODOS OS PARÁGRAFOS"/>
    <w:rsid w:val="00B26F27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qFormat/>
    <w:rsid w:val="00B26F27"/>
    <w:pPr>
      <w:keepNext/>
      <w:numPr>
        <w:ilvl w:val="12"/>
      </w:numPr>
      <w:jc w:val="center"/>
      <w:outlineLvl w:val="3"/>
    </w:pPr>
    <w:rPr>
      <w:rFonts w:ascii="Arial" w:hAnsi="Arial"/>
      <w:b/>
      <w:sz w:val="1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26F27"/>
    <w:rPr>
      <w:rFonts w:ascii="Arial" w:eastAsia="Times New Roman" w:hAnsi="Arial" w:cs="Times New Roman"/>
      <w:b/>
      <w:sz w:val="16"/>
      <w:szCs w:val="24"/>
      <w:lang w:eastAsia="pt-BR"/>
    </w:rPr>
  </w:style>
  <w:style w:type="paragraph" w:customStyle="1" w:styleId="ABNT">
    <w:name w:val="ABNT"/>
    <w:basedOn w:val="Normal"/>
    <w:rsid w:val="00B26F27"/>
    <w:pPr>
      <w:spacing w:line="480" w:lineRule="auto"/>
      <w:ind w:firstLine="851"/>
      <w:jc w:val="both"/>
    </w:pPr>
    <w:rPr>
      <w:rFonts w:ascii="Arial" w:hAnsi="Arial"/>
      <w:lang w:val="pt-BR" w:eastAsia="pt-BR"/>
    </w:rPr>
  </w:style>
  <w:style w:type="paragraph" w:customStyle="1" w:styleId="TODOSOSPARGRAFOS">
    <w:name w:val="TODOS OS PARÁGRAFOS"/>
    <w:rsid w:val="00B26F27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</dc:creator>
  <cp:keywords/>
  <dc:description/>
  <cp:lastModifiedBy>Username</cp:lastModifiedBy>
  <cp:revision>2</cp:revision>
  <dcterms:created xsi:type="dcterms:W3CDTF">2017-04-25T23:28:00Z</dcterms:created>
  <dcterms:modified xsi:type="dcterms:W3CDTF">2017-04-25T23:28:00Z</dcterms:modified>
</cp:coreProperties>
</file>