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F2C64"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t>FACULDADE DAMA CURSO DE ENFERMAGEM</w:t>
      </w:r>
    </w:p>
    <w:p w14:paraId="4EC6A642"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35E51914"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30FFEBB5"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6502579E"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25E83293"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t>CLAUDIANA SOARES MARTINS</w:t>
      </w:r>
    </w:p>
    <w:p w14:paraId="57E8F3A3"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t>FERNANDA MAIESKI</w:t>
      </w:r>
    </w:p>
    <w:p w14:paraId="1ED7A3EF"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51B8DAFE"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3BB633F1"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57F36D15"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30AC91E0"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676510A5"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2B3C74B7"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4956641A"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124B0833"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63863C54"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t>A CLASSIFICAÇÃO DE RISCO E SEU USO NA PRÁTICA EM UNIDADES DE PRONTO ATENDIMENTO: UMA REVISÃO BIBLIOGRÁFICA</w:t>
      </w:r>
    </w:p>
    <w:p w14:paraId="2FC55E60"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41C24604"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5504E9AF"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3885BD6F"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7DC12383"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757C50C6"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3D33A342"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010AE10A"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1967E9BE"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427EDED6"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1837A1A8"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29416706"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4D1A2579"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7F1C7A0E"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028368E5"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t>CANOINHAS</w:t>
      </w:r>
    </w:p>
    <w:p w14:paraId="065BCBC6"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t>2022</w:t>
      </w:r>
    </w:p>
    <w:p w14:paraId="0AA50F5A"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lastRenderedPageBreak/>
        <w:t xml:space="preserve">CLAUDIANA SOARES MARTINS </w:t>
      </w:r>
    </w:p>
    <w:p w14:paraId="794A9E70"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t>FERNANDA MAIESKI</w:t>
      </w:r>
    </w:p>
    <w:p w14:paraId="3EAD2CD2"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149D4A16"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712FE0A4"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54C9EBB0"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61639F5E"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45E5D096"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1C7FD280"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6EBB4154"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20C622A3"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6C2B8913"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5D369124"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116AFA02"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5005CFBB"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09FF0AD5"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184F5550"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t>A CLASSIFICAÇÃO DE RISCO E SEU USO NA PRÁTICA EM UNIDADES DE PRONTO ATENDIMENTO: UMA REVISÃO BIBLIOGRÁFICA</w:t>
      </w:r>
    </w:p>
    <w:p w14:paraId="36889FED"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326C13FA"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77471F3B"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7E860A39" w14:textId="77777777" w:rsidR="00787BF7" w:rsidRDefault="00000000">
      <w:pPr>
        <w:pBdr>
          <w:top w:val="nil"/>
          <w:left w:val="nil"/>
          <w:bottom w:val="nil"/>
          <w:right w:val="nil"/>
          <w:between w:val="nil"/>
        </w:pBdr>
        <w:spacing w:after="0" w:line="240" w:lineRule="auto"/>
        <w:ind w:left="4536"/>
        <w:jc w:val="both"/>
        <w:rPr>
          <w:rFonts w:ascii="Arial" w:eastAsia="Arial" w:hAnsi="Arial" w:cs="Arial"/>
          <w:sz w:val="20"/>
          <w:szCs w:val="20"/>
        </w:rPr>
      </w:pPr>
      <w:r>
        <w:rPr>
          <w:rFonts w:ascii="Arial" w:eastAsia="Arial" w:hAnsi="Arial" w:cs="Arial"/>
          <w:sz w:val="20"/>
          <w:szCs w:val="20"/>
        </w:rPr>
        <w:t>Trabalho Conclusão do Curso de Graduação em Enfermagem da Faculdade DAMA como requisito para a obtenção do título de Bacharel em</w:t>
      </w:r>
    </w:p>
    <w:p w14:paraId="77432D35" w14:textId="77777777" w:rsidR="00787BF7" w:rsidRDefault="00000000">
      <w:pPr>
        <w:pBdr>
          <w:top w:val="nil"/>
          <w:left w:val="nil"/>
          <w:bottom w:val="nil"/>
          <w:right w:val="nil"/>
          <w:between w:val="nil"/>
        </w:pBdr>
        <w:spacing w:after="0" w:line="240" w:lineRule="auto"/>
        <w:ind w:left="4536"/>
        <w:jc w:val="both"/>
        <w:rPr>
          <w:rFonts w:ascii="Arial" w:eastAsia="Arial" w:hAnsi="Arial" w:cs="Arial"/>
          <w:sz w:val="20"/>
          <w:szCs w:val="20"/>
        </w:rPr>
      </w:pPr>
      <w:r>
        <w:rPr>
          <w:rFonts w:ascii="Arial" w:eastAsia="Arial" w:hAnsi="Arial" w:cs="Arial"/>
          <w:sz w:val="20"/>
          <w:szCs w:val="20"/>
        </w:rPr>
        <w:t>Enfermagem.</w:t>
      </w:r>
    </w:p>
    <w:p w14:paraId="672A37DF" w14:textId="77777777" w:rsidR="00787BF7" w:rsidRDefault="00000000">
      <w:pPr>
        <w:pBdr>
          <w:top w:val="nil"/>
          <w:left w:val="nil"/>
          <w:bottom w:val="nil"/>
          <w:right w:val="nil"/>
          <w:between w:val="nil"/>
        </w:pBdr>
        <w:spacing w:after="0" w:line="240" w:lineRule="auto"/>
        <w:ind w:left="4536"/>
        <w:jc w:val="both"/>
        <w:rPr>
          <w:rFonts w:ascii="Arial" w:eastAsia="Arial" w:hAnsi="Arial" w:cs="Arial"/>
          <w:sz w:val="20"/>
          <w:szCs w:val="20"/>
        </w:rPr>
      </w:pPr>
      <w:r>
        <w:rPr>
          <w:rFonts w:ascii="Arial" w:eastAsia="Arial" w:hAnsi="Arial" w:cs="Arial"/>
          <w:sz w:val="20"/>
          <w:szCs w:val="20"/>
        </w:rPr>
        <w:t>Orientador: Me.Enf.. Esvaldo Antunes</w:t>
      </w:r>
    </w:p>
    <w:p w14:paraId="59AE5C52"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1118AEBA"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7AF3CF7D"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766BD7E8"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2246D5E5"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12887A5A"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18CA7F1A"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2B7AC8F6"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207C47E8"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t>CANOINHAS</w:t>
      </w:r>
    </w:p>
    <w:p w14:paraId="5ADF4E25"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t>2022</w:t>
      </w:r>
    </w:p>
    <w:p w14:paraId="43C5CA7E"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15F61094"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1BE6B836"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7D35BD2A"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11A6F463"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4CFA44D1"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382EF160"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7BEEB57B"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0FB52613"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33825A14"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2AC68D6E"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1E2C7879"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2B1686AF"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1A39C16A"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34BDD12E"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710EAB19"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5AC6D2AB"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188CDC3D"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6EE9DC23"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1CAF0B9A"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025CC12E" w14:textId="77777777" w:rsidR="00787BF7" w:rsidRDefault="00000000">
      <w:pPr>
        <w:pBdr>
          <w:top w:val="nil"/>
          <w:left w:val="nil"/>
          <w:bottom w:val="nil"/>
          <w:right w:val="nil"/>
          <w:between w:val="nil"/>
        </w:pBdr>
        <w:spacing w:after="0" w:line="240" w:lineRule="auto"/>
        <w:ind w:left="1276"/>
        <w:rPr>
          <w:rFonts w:ascii="Arial" w:eastAsia="Arial" w:hAnsi="Arial" w:cs="Arial"/>
          <w:sz w:val="20"/>
          <w:szCs w:val="20"/>
        </w:rPr>
      </w:pPr>
      <w:r>
        <w:rPr>
          <w:rFonts w:ascii="Arial" w:eastAsia="Arial" w:hAnsi="Arial" w:cs="Arial"/>
          <w:sz w:val="20"/>
          <w:szCs w:val="20"/>
        </w:rPr>
        <w:t>Ficha Catalográfica (Elaborada pelo Bibliotecário da Faculdade DAMA)</w:t>
      </w:r>
    </w:p>
    <w:p w14:paraId="3B6BB7F6" w14:textId="77777777" w:rsidR="00787BF7" w:rsidRDefault="00000000">
      <w:pPr>
        <w:spacing w:after="0"/>
        <w:ind w:left="1259"/>
      </w:pPr>
      <w:r>
        <w:rPr>
          <w:noProof/>
        </w:rPr>
        <mc:AlternateContent>
          <mc:Choice Requires="wpg">
            <w:drawing>
              <wp:inline distT="0" distB="0" distL="0" distR="0" wp14:anchorId="6F38FB00" wp14:editId="78021726">
                <wp:extent cx="4959350" cy="1879600"/>
                <wp:effectExtent l="0" t="0" r="0" b="0"/>
                <wp:docPr id="73780" name="Agrupar 73780"/>
                <wp:cNvGraphicFramePr/>
                <a:graphic xmlns:a="http://schemas.openxmlformats.org/drawingml/2006/main">
                  <a:graphicData uri="http://schemas.microsoft.com/office/word/2010/wordprocessingGroup">
                    <wpg:wgp>
                      <wpg:cNvGrpSpPr/>
                      <wpg:grpSpPr>
                        <a:xfrm>
                          <a:off x="0" y="0"/>
                          <a:ext cx="4959350" cy="1879600"/>
                          <a:chOff x="2866300" y="2840175"/>
                          <a:chExt cx="4965750" cy="1879650"/>
                        </a:xfrm>
                      </wpg:grpSpPr>
                      <wpg:grpSp>
                        <wpg:cNvPr id="1" name="Agrupar 1"/>
                        <wpg:cNvGrpSpPr/>
                        <wpg:grpSpPr>
                          <a:xfrm>
                            <a:off x="2866325" y="2840200"/>
                            <a:ext cx="4959350" cy="1879600"/>
                            <a:chOff x="0" y="0"/>
                            <a:chExt cx="4959350" cy="1879600"/>
                          </a:xfrm>
                        </wpg:grpSpPr>
                        <wps:wsp>
                          <wps:cNvPr id="2" name="Retângulo 2"/>
                          <wps:cNvSpPr/>
                          <wps:spPr>
                            <a:xfrm>
                              <a:off x="0" y="0"/>
                              <a:ext cx="4959350" cy="1879600"/>
                            </a:xfrm>
                            <a:prstGeom prst="rect">
                              <a:avLst/>
                            </a:prstGeom>
                            <a:noFill/>
                            <a:ln>
                              <a:noFill/>
                            </a:ln>
                          </wps:spPr>
                          <wps:txbx>
                            <w:txbxContent>
                              <w:p w14:paraId="61069693" w14:textId="77777777" w:rsidR="00787BF7" w:rsidRDefault="00787BF7">
                                <w:pPr>
                                  <w:spacing w:after="0" w:line="240" w:lineRule="auto"/>
                                  <w:textDirection w:val="btLr"/>
                                </w:pPr>
                              </w:p>
                            </w:txbxContent>
                          </wps:txbx>
                          <wps:bodyPr spcFirstLastPara="1" wrap="square" lIns="91425" tIns="91425" rIns="91425" bIns="91425" anchor="ctr" anchorCtr="0">
                            <a:noAutofit/>
                          </wps:bodyPr>
                        </wps:wsp>
                        <wps:wsp>
                          <wps:cNvPr id="3" name="Forma Livre: Forma 3"/>
                          <wps:cNvSpPr/>
                          <wps:spPr>
                            <a:xfrm>
                              <a:off x="6350" y="0"/>
                              <a:ext cx="0" cy="1879600"/>
                            </a:xfrm>
                            <a:custGeom>
                              <a:avLst/>
                              <a:gdLst/>
                              <a:ahLst/>
                              <a:cxnLst/>
                              <a:rect l="l" t="t" r="r" b="b"/>
                              <a:pathLst>
                                <a:path w="120000" h="1879600" extrusionOk="0">
                                  <a:moveTo>
                                    <a:pt x="0" y="0"/>
                                  </a:moveTo>
                                  <a:lnTo>
                                    <a:pt x="0" y="1879600"/>
                                  </a:lnTo>
                                </a:path>
                              </a:pathLst>
                            </a:custGeom>
                            <a:noFill/>
                            <a:ln w="12700" cap="flat" cmpd="sng">
                              <a:solidFill>
                                <a:srgbClr val="000000"/>
                              </a:solidFill>
                              <a:prstDash val="solid"/>
                              <a:miter lim="127000"/>
                              <a:headEnd type="none" w="sm" len="sm"/>
                              <a:tailEnd type="none" w="sm" len="sm"/>
                            </a:ln>
                          </wps:spPr>
                          <wps:bodyPr spcFirstLastPara="1" wrap="square" lIns="91425" tIns="91425" rIns="91425" bIns="91425" anchor="ctr" anchorCtr="0">
                            <a:noAutofit/>
                          </wps:bodyPr>
                        </wps:wsp>
                        <wps:wsp>
                          <wps:cNvPr id="4" name="Forma Livre: Forma 4"/>
                          <wps:cNvSpPr/>
                          <wps:spPr>
                            <a:xfrm>
                              <a:off x="4959350" y="0"/>
                              <a:ext cx="0" cy="1879600"/>
                            </a:xfrm>
                            <a:custGeom>
                              <a:avLst/>
                              <a:gdLst/>
                              <a:ahLst/>
                              <a:cxnLst/>
                              <a:rect l="l" t="t" r="r" b="b"/>
                              <a:pathLst>
                                <a:path w="120000" h="1879600" extrusionOk="0">
                                  <a:moveTo>
                                    <a:pt x="0" y="0"/>
                                  </a:moveTo>
                                  <a:lnTo>
                                    <a:pt x="0" y="1879600"/>
                                  </a:lnTo>
                                </a:path>
                              </a:pathLst>
                            </a:custGeom>
                            <a:noFill/>
                            <a:ln w="12700" cap="flat" cmpd="sng">
                              <a:solidFill>
                                <a:srgbClr val="000000"/>
                              </a:solidFill>
                              <a:prstDash val="solid"/>
                              <a:miter lim="127000"/>
                              <a:headEnd type="none" w="sm" len="sm"/>
                              <a:tailEnd type="none" w="sm" len="sm"/>
                            </a:ln>
                          </wps:spPr>
                          <wps:bodyPr spcFirstLastPara="1" wrap="square" lIns="91425" tIns="91425" rIns="91425" bIns="91425" anchor="ctr" anchorCtr="0">
                            <a:noAutofit/>
                          </wps:bodyPr>
                        </wps:wsp>
                        <wps:wsp>
                          <wps:cNvPr id="5" name="Forma Livre: Forma 5"/>
                          <wps:cNvSpPr/>
                          <wps:spPr>
                            <a:xfrm>
                              <a:off x="0" y="6350"/>
                              <a:ext cx="4953000" cy="0"/>
                            </a:xfrm>
                            <a:custGeom>
                              <a:avLst/>
                              <a:gdLst/>
                              <a:ahLst/>
                              <a:cxnLst/>
                              <a:rect l="l" t="t" r="r" b="b"/>
                              <a:pathLst>
                                <a:path w="4953000" h="120000" extrusionOk="0">
                                  <a:moveTo>
                                    <a:pt x="0" y="0"/>
                                  </a:moveTo>
                                  <a:lnTo>
                                    <a:pt x="4953000" y="0"/>
                                  </a:lnTo>
                                </a:path>
                              </a:pathLst>
                            </a:custGeom>
                            <a:noFill/>
                            <a:ln w="12700" cap="flat" cmpd="sng">
                              <a:solidFill>
                                <a:srgbClr val="000000"/>
                              </a:solidFill>
                              <a:prstDash val="solid"/>
                              <a:miter lim="127000"/>
                              <a:headEnd type="none" w="sm" len="sm"/>
                              <a:tailEnd type="none" w="sm" len="sm"/>
                            </a:ln>
                          </wps:spPr>
                          <wps:bodyPr spcFirstLastPara="1" wrap="square" lIns="91425" tIns="91425" rIns="91425" bIns="91425" anchor="ctr" anchorCtr="0">
                            <a:noAutofit/>
                          </wps:bodyPr>
                        </wps:wsp>
                        <wps:wsp>
                          <wps:cNvPr id="6" name="Forma Livre: Forma 6"/>
                          <wps:cNvSpPr/>
                          <wps:spPr>
                            <a:xfrm>
                              <a:off x="0" y="1873250"/>
                              <a:ext cx="4953000" cy="0"/>
                            </a:xfrm>
                            <a:custGeom>
                              <a:avLst/>
                              <a:gdLst/>
                              <a:ahLst/>
                              <a:cxnLst/>
                              <a:rect l="l" t="t" r="r" b="b"/>
                              <a:pathLst>
                                <a:path w="4953000" h="120000" extrusionOk="0">
                                  <a:moveTo>
                                    <a:pt x="0" y="0"/>
                                  </a:moveTo>
                                  <a:lnTo>
                                    <a:pt x="4953000" y="0"/>
                                  </a:lnTo>
                                </a:path>
                              </a:pathLst>
                            </a:custGeom>
                            <a:noFill/>
                            <a:ln w="12700" cap="flat" cmpd="sng">
                              <a:solidFill>
                                <a:srgbClr val="000000"/>
                              </a:solidFill>
                              <a:prstDash val="solid"/>
                              <a:miter lim="127000"/>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w14:anchorId="6F38FB00" id="Agrupar 73780" o:spid="_x0000_s1026" style="width:390.5pt;height:148pt;mso-position-horizontal-relative:char;mso-position-vertical-relative:line" coordorigin="28663,28401" coordsize="49657,18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">
                <v:group id="Agrupar 1" o:spid="_x0000_s1027" style="position:absolute;left:28663;top:28402;width:49593;height:18796" coordsize="49593,18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width:49593;height:187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1069693" w14:textId="77777777" w:rsidR="00787BF7" w:rsidRDefault="00787BF7">
                          <w:pPr>
                            <w:spacing w:after="0" w:line="240" w:lineRule="auto"/>
                            <w:textDirection w:val="btLr"/>
                          </w:pPr>
                        </w:p>
                      </w:txbxContent>
                    </v:textbox>
                  </v:rect>
                  <v:shape id="Forma Livre: Forma 3" o:spid="_x0000_s1029" style="position:absolute;left:63;width:0;height:18796;visibility:visible;mso-wrap-style:square;v-text-anchor:middle" coordsize="120000,187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" path="m,l,1879600e" filled="f" strokeweight="1pt">
                    <v:stroke startarrowwidth="narrow" startarrowlength="short" endarrowwidth="narrow" endarrowlength="short" miterlimit="83231f" joinstyle="miter"/>
                    <v:path arrowok="t" o:extrusionok="f"/>
                  </v:shape>
                  <v:shape id="Forma Livre: Forma 4" o:spid="_x0000_s1030" style="position:absolute;left:49593;width:0;height:18796;visibility:visible;mso-wrap-style:square;v-text-anchor:middle" coordsize="120000,187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" path="m,l,1879600e" filled="f" strokeweight="1pt">
                    <v:stroke startarrowwidth="narrow" startarrowlength="short" endarrowwidth="narrow" endarrowlength="short" miterlimit="83231f" joinstyle="miter"/>
                    <v:path arrowok="t" o:extrusionok="f"/>
                  </v:shape>
                  <v:shape id="Forma Livre: Forma 5" o:spid="_x0000_s1031" style="position:absolute;top:63;width:49530;height:0;visibility:visible;mso-wrap-style:square;v-text-anchor:middle" coordsize="4953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" path="m,l4953000,e" filled="f" strokeweight="1pt">
                    <v:stroke startarrowwidth="narrow" startarrowlength="short" endarrowwidth="narrow" endarrowlength="short" miterlimit="83231f" joinstyle="miter"/>
                    <v:path arrowok="t" o:extrusionok="f"/>
                  </v:shape>
                  <v:shape id="Forma Livre: Forma 6" o:spid="_x0000_s1032" style="position:absolute;top:18732;width:49530;height:0;visibility:visible;mso-wrap-style:square;v-text-anchor:middle" coordsize="4953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" path="m,l4953000,e" filled="f" strokeweight="1pt">
                    <v:stroke startarrowwidth="narrow" startarrowlength="short" endarrowwidth="narrow" endarrowlength="short" miterlimit="83231f" joinstyle="miter"/>
                    <v:path arrowok="t" o:extrusionok="f"/>
                  </v:shape>
                </v:group>
                <w10:anchorlock/>
              </v:group>
            </w:pict>
          </mc:Fallback>
        </mc:AlternateContent>
      </w:r>
    </w:p>
    <w:p w14:paraId="2E7D1F54"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127A48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8DF555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AD9A7F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B0DCC3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B60C61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A9BD484"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lastRenderedPageBreak/>
        <w:t xml:space="preserve">CLAUDIANA SOARES MARTINS </w:t>
      </w:r>
    </w:p>
    <w:p w14:paraId="7734B154"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t>FERNANDA MAIESKI</w:t>
      </w:r>
    </w:p>
    <w:p w14:paraId="3B83DA81"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4C624B6C" w14:textId="77777777" w:rsidR="00787BF7" w:rsidRDefault="00787BF7">
      <w:pPr>
        <w:pBdr>
          <w:top w:val="nil"/>
          <w:left w:val="nil"/>
          <w:bottom w:val="nil"/>
          <w:right w:val="nil"/>
          <w:between w:val="nil"/>
        </w:pBdr>
        <w:spacing w:after="0" w:line="360" w:lineRule="auto"/>
        <w:jc w:val="center"/>
        <w:rPr>
          <w:rFonts w:ascii="Arial" w:eastAsia="Arial" w:hAnsi="Arial" w:cs="Arial"/>
          <w:b/>
          <w:sz w:val="24"/>
          <w:szCs w:val="24"/>
        </w:rPr>
      </w:pPr>
    </w:p>
    <w:p w14:paraId="71F44FCA"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t>A CLASSIFICAÇÃO DE RISCO E SEU USO NA PRÁTICA EM UNIDADES DE PRONTO ATENDIMENTO: UMA REVISÃO BIBLIOGRÁFICA</w:t>
      </w:r>
    </w:p>
    <w:p w14:paraId="44A5E54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B58C59B"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Este Trabalho Conclusão de Curso foi julgado adequado para obtenção do Título de “A CLASSIFICAÇÃO DE RISCO E SEU USO NA PRÁTICA EM UNIDADES DE PRONTO ATENDIMENTO: UMA REVISÃO BIBLIOGRÁFICA” e aprovado em sua forma final pelo Curso de Enfermagem.</w:t>
      </w:r>
    </w:p>
    <w:p w14:paraId="07A1A0B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E9FDC1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5CBDE29" w14:textId="77777777" w:rsidR="00787BF7" w:rsidRDefault="00000000">
      <w:pPr>
        <w:pBdr>
          <w:top w:val="nil"/>
          <w:left w:val="nil"/>
          <w:bottom w:val="nil"/>
          <w:right w:val="nil"/>
          <w:between w:val="nil"/>
        </w:pBdr>
        <w:spacing w:after="0" w:line="360" w:lineRule="auto"/>
        <w:jc w:val="center"/>
        <w:rPr>
          <w:rFonts w:ascii="Arial" w:eastAsia="Arial" w:hAnsi="Arial" w:cs="Arial"/>
          <w:sz w:val="24"/>
          <w:szCs w:val="24"/>
        </w:rPr>
      </w:pPr>
      <w:r>
        <w:rPr>
          <w:rFonts w:ascii="Arial" w:eastAsia="Arial" w:hAnsi="Arial" w:cs="Arial"/>
          <w:sz w:val="24"/>
          <w:szCs w:val="24"/>
        </w:rPr>
        <w:t>Local, [  ] de [       ] de [      ].</w:t>
      </w:r>
    </w:p>
    <w:p w14:paraId="6916A960" w14:textId="77777777" w:rsidR="00787BF7" w:rsidRDefault="00787BF7">
      <w:pPr>
        <w:pBdr>
          <w:top w:val="nil"/>
          <w:left w:val="nil"/>
          <w:bottom w:val="nil"/>
          <w:right w:val="nil"/>
          <w:between w:val="nil"/>
        </w:pBdr>
        <w:spacing w:after="0" w:line="360" w:lineRule="auto"/>
        <w:jc w:val="center"/>
        <w:rPr>
          <w:rFonts w:ascii="Arial" w:eastAsia="Arial" w:hAnsi="Arial" w:cs="Arial"/>
          <w:sz w:val="24"/>
          <w:szCs w:val="24"/>
        </w:rPr>
      </w:pPr>
    </w:p>
    <w:p w14:paraId="256CC9F4" w14:textId="77777777" w:rsidR="00787BF7" w:rsidRDefault="00787BF7">
      <w:pPr>
        <w:pBdr>
          <w:top w:val="nil"/>
          <w:left w:val="nil"/>
          <w:bottom w:val="nil"/>
          <w:right w:val="nil"/>
          <w:between w:val="nil"/>
        </w:pBdr>
        <w:spacing w:after="0" w:line="360" w:lineRule="auto"/>
        <w:jc w:val="center"/>
        <w:rPr>
          <w:rFonts w:ascii="Arial" w:eastAsia="Arial" w:hAnsi="Arial" w:cs="Arial"/>
          <w:sz w:val="24"/>
          <w:szCs w:val="24"/>
        </w:rPr>
      </w:pPr>
    </w:p>
    <w:p w14:paraId="598C55B4" w14:textId="77777777" w:rsidR="00787BF7" w:rsidRDefault="00000000">
      <w:pPr>
        <w:pBdr>
          <w:top w:val="nil"/>
          <w:left w:val="nil"/>
          <w:bottom w:val="nil"/>
          <w:right w:val="nil"/>
          <w:between w:val="nil"/>
        </w:pBdr>
        <w:spacing w:after="0" w:line="276" w:lineRule="auto"/>
        <w:jc w:val="center"/>
        <w:rPr>
          <w:rFonts w:ascii="Arial" w:eastAsia="Arial" w:hAnsi="Arial" w:cs="Arial"/>
          <w:sz w:val="24"/>
          <w:szCs w:val="24"/>
        </w:rPr>
      </w:pPr>
      <w:r>
        <w:rPr>
          <w:rFonts w:ascii="Arial" w:eastAsia="Arial" w:hAnsi="Arial" w:cs="Arial"/>
          <w:sz w:val="24"/>
          <w:szCs w:val="24"/>
        </w:rPr>
        <w:t>________________________</w:t>
      </w:r>
    </w:p>
    <w:p w14:paraId="77C0BFD7" w14:textId="77777777" w:rsidR="00787BF7" w:rsidRDefault="00000000">
      <w:pPr>
        <w:pBdr>
          <w:top w:val="nil"/>
          <w:left w:val="nil"/>
          <w:bottom w:val="nil"/>
          <w:right w:val="nil"/>
          <w:between w:val="nil"/>
        </w:pBdr>
        <w:spacing w:after="0" w:line="276" w:lineRule="auto"/>
        <w:jc w:val="center"/>
        <w:rPr>
          <w:rFonts w:ascii="Arial" w:eastAsia="Arial" w:hAnsi="Arial" w:cs="Arial"/>
          <w:sz w:val="24"/>
          <w:szCs w:val="24"/>
        </w:rPr>
      </w:pPr>
      <w:r>
        <w:rPr>
          <w:rFonts w:ascii="Arial" w:eastAsia="Arial" w:hAnsi="Arial" w:cs="Arial"/>
          <w:sz w:val="24"/>
          <w:szCs w:val="24"/>
        </w:rPr>
        <w:t>Prof. [  ], Dr.</w:t>
      </w:r>
    </w:p>
    <w:p w14:paraId="388C9910" w14:textId="77777777" w:rsidR="00787BF7" w:rsidRDefault="00000000">
      <w:pPr>
        <w:pBdr>
          <w:top w:val="nil"/>
          <w:left w:val="nil"/>
          <w:bottom w:val="nil"/>
          <w:right w:val="nil"/>
          <w:between w:val="nil"/>
        </w:pBdr>
        <w:spacing w:after="0" w:line="276" w:lineRule="auto"/>
        <w:jc w:val="center"/>
        <w:rPr>
          <w:rFonts w:ascii="Arial" w:eastAsia="Arial" w:hAnsi="Arial" w:cs="Arial"/>
          <w:sz w:val="24"/>
          <w:szCs w:val="24"/>
        </w:rPr>
      </w:pPr>
      <w:r>
        <w:rPr>
          <w:rFonts w:ascii="Arial" w:eastAsia="Arial" w:hAnsi="Arial" w:cs="Arial"/>
          <w:sz w:val="24"/>
          <w:szCs w:val="24"/>
        </w:rPr>
        <w:t xml:space="preserve">Coordenador do Curso </w:t>
      </w:r>
    </w:p>
    <w:p w14:paraId="04D8BB54" w14:textId="77777777" w:rsidR="00787BF7" w:rsidRDefault="00787BF7">
      <w:pPr>
        <w:pBdr>
          <w:top w:val="nil"/>
          <w:left w:val="nil"/>
          <w:bottom w:val="nil"/>
          <w:right w:val="nil"/>
          <w:between w:val="nil"/>
        </w:pBdr>
        <w:spacing w:after="0" w:line="276" w:lineRule="auto"/>
        <w:jc w:val="center"/>
        <w:rPr>
          <w:rFonts w:ascii="Arial" w:eastAsia="Arial" w:hAnsi="Arial" w:cs="Arial"/>
          <w:sz w:val="24"/>
          <w:szCs w:val="24"/>
        </w:rPr>
      </w:pPr>
    </w:p>
    <w:p w14:paraId="0997480E" w14:textId="77777777" w:rsidR="00787BF7" w:rsidRDefault="00000000">
      <w:pPr>
        <w:pBdr>
          <w:top w:val="nil"/>
          <w:left w:val="nil"/>
          <w:bottom w:val="nil"/>
          <w:right w:val="nil"/>
          <w:between w:val="nil"/>
        </w:pBdr>
        <w:spacing w:after="0" w:line="276" w:lineRule="auto"/>
        <w:jc w:val="center"/>
        <w:rPr>
          <w:rFonts w:ascii="Arial" w:eastAsia="Arial" w:hAnsi="Arial" w:cs="Arial"/>
          <w:b/>
          <w:sz w:val="24"/>
          <w:szCs w:val="24"/>
        </w:rPr>
      </w:pPr>
      <w:r>
        <w:rPr>
          <w:rFonts w:ascii="Arial" w:eastAsia="Arial" w:hAnsi="Arial" w:cs="Arial"/>
          <w:b/>
          <w:sz w:val="24"/>
          <w:szCs w:val="24"/>
        </w:rPr>
        <w:t>Banca Examinadora:</w:t>
      </w:r>
    </w:p>
    <w:p w14:paraId="0BB3FFF4" w14:textId="77777777" w:rsidR="00787BF7" w:rsidRDefault="00787BF7">
      <w:pPr>
        <w:pBdr>
          <w:top w:val="nil"/>
          <w:left w:val="nil"/>
          <w:bottom w:val="nil"/>
          <w:right w:val="nil"/>
          <w:between w:val="nil"/>
        </w:pBdr>
        <w:spacing w:after="0" w:line="276" w:lineRule="auto"/>
        <w:jc w:val="center"/>
        <w:rPr>
          <w:rFonts w:ascii="Arial" w:eastAsia="Arial" w:hAnsi="Arial" w:cs="Arial"/>
          <w:sz w:val="24"/>
          <w:szCs w:val="24"/>
        </w:rPr>
      </w:pPr>
    </w:p>
    <w:p w14:paraId="136EF654" w14:textId="77777777" w:rsidR="00787BF7" w:rsidRDefault="00000000">
      <w:pPr>
        <w:pBdr>
          <w:top w:val="nil"/>
          <w:left w:val="nil"/>
          <w:bottom w:val="nil"/>
          <w:right w:val="nil"/>
          <w:between w:val="nil"/>
        </w:pBdr>
        <w:spacing w:after="0" w:line="276" w:lineRule="auto"/>
        <w:jc w:val="center"/>
        <w:rPr>
          <w:rFonts w:ascii="Arial" w:eastAsia="Arial" w:hAnsi="Arial" w:cs="Arial"/>
          <w:sz w:val="24"/>
          <w:szCs w:val="24"/>
        </w:rPr>
      </w:pPr>
      <w:r>
        <w:rPr>
          <w:rFonts w:ascii="Arial" w:eastAsia="Arial" w:hAnsi="Arial" w:cs="Arial"/>
          <w:sz w:val="24"/>
          <w:szCs w:val="24"/>
        </w:rPr>
        <w:t>________________________</w:t>
      </w:r>
    </w:p>
    <w:p w14:paraId="22ECC152" w14:textId="77777777" w:rsidR="00787BF7" w:rsidRDefault="00000000">
      <w:pPr>
        <w:pBdr>
          <w:top w:val="nil"/>
          <w:left w:val="nil"/>
          <w:bottom w:val="nil"/>
          <w:right w:val="nil"/>
          <w:between w:val="nil"/>
        </w:pBdr>
        <w:spacing w:after="0" w:line="276" w:lineRule="auto"/>
        <w:jc w:val="center"/>
        <w:rPr>
          <w:rFonts w:ascii="Arial" w:eastAsia="Arial" w:hAnsi="Arial" w:cs="Arial"/>
          <w:sz w:val="24"/>
          <w:szCs w:val="24"/>
        </w:rPr>
      </w:pPr>
      <w:r>
        <w:rPr>
          <w:rFonts w:ascii="Arial" w:eastAsia="Arial" w:hAnsi="Arial" w:cs="Arial"/>
          <w:sz w:val="24"/>
          <w:szCs w:val="24"/>
        </w:rPr>
        <w:t>Prof.(a) [  ], Dr.(a)</w:t>
      </w:r>
    </w:p>
    <w:p w14:paraId="6FC1213B" w14:textId="77777777" w:rsidR="00787BF7" w:rsidRDefault="00000000">
      <w:pPr>
        <w:pBdr>
          <w:top w:val="nil"/>
          <w:left w:val="nil"/>
          <w:bottom w:val="nil"/>
          <w:right w:val="nil"/>
          <w:between w:val="nil"/>
        </w:pBdr>
        <w:spacing w:after="0" w:line="276" w:lineRule="auto"/>
        <w:jc w:val="center"/>
        <w:rPr>
          <w:rFonts w:ascii="Arial" w:eastAsia="Arial" w:hAnsi="Arial" w:cs="Arial"/>
          <w:sz w:val="24"/>
          <w:szCs w:val="24"/>
        </w:rPr>
      </w:pPr>
      <w:r>
        <w:rPr>
          <w:rFonts w:ascii="Arial" w:eastAsia="Arial" w:hAnsi="Arial" w:cs="Arial"/>
          <w:sz w:val="24"/>
          <w:szCs w:val="24"/>
        </w:rPr>
        <w:t>Orientador(a)</w:t>
      </w:r>
    </w:p>
    <w:p w14:paraId="5F24C859" w14:textId="77777777" w:rsidR="00787BF7" w:rsidRDefault="00000000">
      <w:pPr>
        <w:pBdr>
          <w:top w:val="nil"/>
          <w:left w:val="nil"/>
          <w:bottom w:val="nil"/>
          <w:right w:val="nil"/>
          <w:between w:val="nil"/>
        </w:pBdr>
        <w:spacing w:after="0" w:line="276" w:lineRule="auto"/>
        <w:jc w:val="center"/>
        <w:rPr>
          <w:rFonts w:ascii="Arial" w:eastAsia="Arial" w:hAnsi="Arial" w:cs="Arial"/>
          <w:sz w:val="24"/>
          <w:szCs w:val="24"/>
        </w:rPr>
      </w:pPr>
      <w:r>
        <w:rPr>
          <w:rFonts w:ascii="Arial" w:eastAsia="Arial" w:hAnsi="Arial" w:cs="Arial"/>
          <w:sz w:val="24"/>
          <w:szCs w:val="24"/>
        </w:rPr>
        <w:t>Instituição [  ]</w:t>
      </w:r>
    </w:p>
    <w:p w14:paraId="2126D82C" w14:textId="77777777" w:rsidR="00787BF7" w:rsidRDefault="00787BF7">
      <w:pPr>
        <w:pBdr>
          <w:top w:val="nil"/>
          <w:left w:val="nil"/>
          <w:bottom w:val="nil"/>
          <w:right w:val="nil"/>
          <w:between w:val="nil"/>
        </w:pBdr>
        <w:spacing w:after="0" w:line="276" w:lineRule="auto"/>
        <w:jc w:val="center"/>
        <w:rPr>
          <w:rFonts w:ascii="Arial" w:eastAsia="Arial" w:hAnsi="Arial" w:cs="Arial"/>
          <w:sz w:val="24"/>
          <w:szCs w:val="24"/>
        </w:rPr>
      </w:pPr>
    </w:p>
    <w:p w14:paraId="6A3FE1A7" w14:textId="77777777" w:rsidR="00787BF7" w:rsidRDefault="00787BF7">
      <w:pPr>
        <w:pBdr>
          <w:top w:val="nil"/>
          <w:left w:val="nil"/>
          <w:bottom w:val="nil"/>
          <w:right w:val="nil"/>
          <w:between w:val="nil"/>
        </w:pBdr>
        <w:spacing w:after="0" w:line="276" w:lineRule="auto"/>
        <w:jc w:val="center"/>
        <w:rPr>
          <w:rFonts w:ascii="Arial" w:eastAsia="Arial" w:hAnsi="Arial" w:cs="Arial"/>
          <w:sz w:val="24"/>
          <w:szCs w:val="24"/>
        </w:rPr>
      </w:pPr>
    </w:p>
    <w:p w14:paraId="2FC0C36C" w14:textId="77777777" w:rsidR="00787BF7" w:rsidRDefault="00000000">
      <w:pPr>
        <w:pBdr>
          <w:top w:val="nil"/>
          <w:left w:val="nil"/>
          <w:bottom w:val="nil"/>
          <w:right w:val="nil"/>
          <w:between w:val="nil"/>
        </w:pBdr>
        <w:spacing w:after="0" w:line="276" w:lineRule="auto"/>
        <w:jc w:val="center"/>
        <w:rPr>
          <w:rFonts w:ascii="Arial" w:eastAsia="Arial" w:hAnsi="Arial" w:cs="Arial"/>
          <w:sz w:val="24"/>
          <w:szCs w:val="24"/>
        </w:rPr>
      </w:pPr>
      <w:r>
        <w:rPr>
          <w:rFonts w:ascii="Arial" w:eastAsia="Arial" w:hAnsi="Arial" w:cs="Arial"/>
          <w:sz w:val="24"/>
          <w:szCs w:val="24"/>
        </w:rPr>
        <w:t>________________________</w:t>
      </w:r>
    </w:p>
    <w:p w14:paraId="1115D476" w14:textId="77777777" w:rsidR="00787BF7" w:rsidRDefault="00000000">
      <w:pPr>
        <w:pBdr>
          <w:top w:val="nil"/>
          <w:left w:val="nil"/>
          <w:bottom w:val="nil"/>
          <w:right w:val="nil"/>
          <w:between w:val="nil"/>
        </w:pBdr>
        <w:spacing w:after="0" w:line="276" w:lineRule="auto"/>
        <w:jc w:val="center"/>
        <w:rPr>
          <w:rFonts w:ascii="Arial" w:eastAsia="Arial" w:hAnsi="Arial" w:cs="Arial"/>
          <w:sz w:val="24"/>
          <w:szCs w:val="24"/>
        </w:rPr>
      </w:pPr>
      <w:r>
        <w:rPr>
          <w:rFonts w:ascii="Arial" w:eastAsia="Arial" w:hAnsi="Arial" w:cs="Arial"/>
          <w:sz w:val="24"/>
          <w:szCs w:val="24"/>
        </w:rPr>
        <w:t>Prof.(a) [  ], Dr.(a)</w:t>
      </w:r>
    </w:p>
    <w:p w14:paraId="0D847EA0" w14:textId="77777777" w:rsidR="00787BF7" w:rsidRDefault="00000000">
      <w:pPr>
        <w:pBdr>
          <w:top w:val="nil"/>
          <w:left w:val="nil"/>
          <w:bottom w:val="nil"/>
          <w:right w:val="nil"/>
          <w:between w:val="nil"/>
        </w:pBdr>
        <w:spacing w:after="0" w:line="276" w:lineRule="auto"/>
        <w:jc w:val="center"/>
        <w:rPr>
          <w:rFonts w:ascii="Arial" w:eastAsia="Arial" w:hAnsi="Arial" w:cs="Arial"/>
          <w:sz w:val="24"/>
          <w:szCs w:val="24"/>
        </w:rPr>
      </w:pPr>
      <w:r>
        <w:rPr>
          <w:rFonts w:ascii="Arial" w:eastAsia="Arial" w:hAnsi="Arial" w:cs="Arial"/>
          <w:sz w:val="24"/>
          <w:szCs w:val="24"/>
        </w:rPr>
        <w:t>Avaliador(a)</w:t>
      </w:r>
    </w:p>
    <w:p w14:paraId="2EFA65BE" w14:textId="77777777" w:rsidR="00787BF7" w:rsidRDefault="00000000">
      <w:pPr>
        <w:pBdr>
          <w:top w:val="nil"/>
          <w:left w:val="nil"/>
          <w:bottom w:val="nil"/>
          <w:right w:val="nil"/>
          <w:between w:val="nil"/>
        </w:pBdr>
        <w:spacing w:after="0" w:line="276" w:lineRule="auto"/>
        <w:jc w:val="center"/>
        <w:rPr>
          <w:rFonts w:ascii="Arial" w:eastAsia="Arial" w:hAnsi="Arial" w:cs="Arial"/>
          <w:sz w:val="24"/>
          <w:szCs w:val="24"/>
        </w:rPr>
      </w:pPr>
      <w:r>
        <w:rPr>
          <w:rFonts w:ascii="Arial" w:eastAsia="Arial" w:hAnsi="Arial" w:cs="Arial"/>
          <w:sz w:val="24"/>
          <w:szCs w:val="24"/>
        </w:rPr>
        <w:t>Instituição [  ]</w:t>
      </w:r>
    </w:p>
    <w:p w14:paraId="571DE48B" w14:textId="77777777" w:rsidR="00787BF7" w:rsidRDefault="00787BF7">
      <w:pPr>
        <w:pBdr>
          <w:top w:val="nil"/>
          <w:left w:val="nil"/>
          <w:bottom w:val="nil"/>
          <w:right w:val="nil"/>
          <w:between w:val="nil"/>
        </w:pBdr>
        <w:spacing w:after="0" w:line="276" w:lineRule="auto"/>
        <w:jc w:val="center"/>
        <w:rPr>
          <w:rFonts w:ascii="Arial" w:eastAsia="Arial" w:hAnsi="Arial" w:cs="Arial"/>
          <w:sz w:val="24"/>
          <w:szCs w:val="24"/>
        </w:rPr>
      </w:pPr>
    </w:p>
    <w:p w14:paraId="30D57D04" w14:textId="77777777" w:rsidR="00787BF7" w:rsidRDefault="00787BF7">
      <w:pPr>
        <w:pBdr>
          <w:top w:val="nil"/>
          <w:left w:val="nil"/>
          <w:bottom w:val="nil"/>
          <w:right w:val="nil"/>
          <w:between w:val="nil"/>
        </w:pBdr>
        <w:spacing w:after="0" w:line="276" w:lineRule="auto"/>
        <w:jc w:val="center"/>
        <w:rPr>
          <w:rFonts w:ascii="Arial" w:eastAsia="Arial" w:hAnsi="Arial" w:cs="Arial"/>
          <w:sz w:val="24"/>
          <w:szCs w:val="24"/>
        </w:rPr>
      </w:pPr>
    </w:p>
    <w:p w14:paraId="0929D81A" w14:textId="77777777" w:rsidR="00787BF7" w:rsidRDefault="00000000">
      <w:pPr>
        <w:pBdr>
          <w:top w:val="nil"/>
          <w:left w:val="nil"/>
          <w:bottom w:val="nil"/>
          <w:right w:val="nil"/>
          <w:between w:val="nil"/>
        </w:pBdr>
        <w:spacing w:after="0" w:line="276" w:lineRule="auto"/>
        <w:jc w:val="center"/>
        <w:rPr>
          <w:rFonts w:ascii="Arial" w:eastAsia="Arial" w:hAnsi="Arial" w:cs="Arial"/>
          <w:sz w:val="24"/>
          <w:szCs w:val="24"/>
        </w:rPr>
      </w:pPr>
      <w:r>
        <w:rPr>
          <w:rFonts w:ascii="Arial" w:eastAsia="Arial" w:hAnsi="Arial" w:cs="Arial"/>
          <w:sz w:val="24"/>
          <w:szCs w:val="24"/>
        </w:rPr>
        <w:t>________________________</w:t>
      </w:r>
    </w:p>
    <w:p w14:paraId="2554022A" w14:textId="77777777" w:rsidR="00787BF7" w:rsidRDefault="00000000">
      <w:pPr>
        <w:pBdr>
          <w:top w:val="nil"/>
          <w:left w:val="nil"/>
          <w:bottom w:val="nil"/>
          <w:right w:val="nil"/>
          <w:between w:val="nil"/>
        </w:pBdr>
        <w:spacing w:after="0" w:line="276" w:lineRule="auto"/>
        <w:jc w:val="center"/>
        <w:rPr>
          <w:rFonts w:ascii="Arial" w:eastAsia="Arial" w:hAnsi="Arial" w:cs="Arial"/>
          <w:sz w:val="24"/>
          <w:szCs w:val="24"/>
        </w:rPr>
      </w:pPr>
      <w:r>
        <w:rPr>
          <w:rFonts w:ascii="Arial" w:eastAsia="Arial" w:hAnsi="Arial" w:cs="Arial"/>
          <w:sz w:val="24"/>
          <w:szCs w:val="24"/>
        </w:rPr>
        <w:t>Prof.(a) [  ], Dr.(a) Avaliador(a)</w:t>
      </w:r>
    </w:p>
    <w:p w14:paraId="22E3B8E3" w14:textId="77777777" w:rsidR="00787BF7" w:rsidRDefault="00000000">
      <w:pPr>
        <w:pBdr>
          <w:top w:val="nil"/>
          <w:left w:val="nil"/>
          <w:bottom w:val="nil"/>
          <w:right w:val="nil"/>
          <w:between w:val="nil"/>
        </w:pBdr>
        <w:spacing w:after="0" w:line="276" w:lineRule="auto"/>
        <w:jc w:val="center"/>
        <w:rPr>
          <w:rFonts w:ascii="Arial" w:eastAsia="Arial" w:hAnsi="Arial" w:cs="Arial"/>
          <w:sz w:val="24"/>
          <w:szCs w:val="24"/>
        </w:rPr>
      </w:pPr>
      <w:r>
        <w:rPr>
          <w:rFonts w:ascii="Arial" w:eastAsia="Arial" w:hAnsi="Arial" w:cs="Arial"/>
          <w:sz w:val="24"/>
          <w:szCs w:val="24"/>
        </w:rPr>
        <w:t>Faculdade Dama</w:t>
      </w:r>
    </w:p>
    <w:p w14:paraId="153895B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6D43844"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67F57A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E5372E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26C90DD"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9FE52E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CBFB2AD"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1365E4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DCAC16D"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66B35F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A01DD2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48E299D"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CDF3CF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B32637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71D90C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44750D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EF55DA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6170B8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D2188BD"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A87A6E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11BE47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617465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5F29DD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79F503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5D671C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ED8BB7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B9D611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FA339B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3EA6424"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210B58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611175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8BA5FBE" w14:textId="77777777" w:rsidR="00787BF7" w:rsidRDefault="00000000">
      <w:pPr>
        <w:pBdr>
          <w:top w:val="nil"/>
          <w:left w:val="nil"/>
          <w:bottom w:val="nil"/>
          <w:right w:val="nil"/>
          <w:between w:val="nil"/>
        </w:pBdr>
        <w:spacing w:after="0" w:line="360" w:lineRule="auto"/>
        <w:ind w:left="4536"/>
        <w:jc w:val="both"/>
        <w:rPr>
          <w:rFonts w:ascii="Arial" w:eastAsia="Arial" w:hAnsi="Arial" w:cs="Arial"/>
          <w:i/>
          <w:sz w:val="24"/>
          <w:szCs w:val="24"/>
        </w:rPr>
      </w:pPr>
      <w:r>
        <w:rPr>
          <w:rFonts w:ascii="Arial" w:eastAsia="Arial" w:hAnsi="Arial" w:cs="Arial"/>
          <w:i/>
          <w:sz w:val="24"/>
          <w:szCs w:val="24"/>
        </w:rPr>
        <w:t>Dedicamos este trabalho em primeiro lugar a Deus, em segundo a nossa família, amigos e principalmente ao nosso orientador.</w:t>
      </w:r>
    </w:p>
    <w:p w14:paraId="50F7F0C3" w14:textId="77777777" w:rsidR="00787BF7" w:rsidRDefault="00787BF7">
      <w:pPr>
        <w:pBdr>
          <w:top w:val="nil"/>
          <w:left w:val="nil"/>
          <w:bottom w:val="nil"/>
          <w:right w:val="nil"/>
          <w:between w:val="nil"/>
        </w:pBdr>
        <w:spacing w:after="0" w:line="360" w:lineRule="auto"/>
        <w:ind w:left="4536"/>
        <w:jc w:val="both"/>
        <w:rPr>
          <w:rFonts w:ascii="Arial" w:eastAsia="Arial" w:hAnsi="Arial" w:cs="Arial"/>
          <w:i/>
          <w:sz w:val="24"/>
          <w:szCs w:val="24"/>
        </w:rPr>
      </w:pPr>
    </w:p>
    <w:p w14:paraId="52DC4287"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lastRenderedPageBreak/>
        <w:t>AGRADECIMENTOS</w:t>
      </w:r>
    </w:p>
    <w:p w14:paraId="66F11F24"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4B4489B6"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i/>
          <w:sz w:val="24"/>
          <w:szCs w:val="24"/>
        </w:rPr>
      </w:pPr>
      <w:r>
        <w:rPr>
          <w:rFonts w:ascii="Arial" w:eastAsia="Arial" w:hAnsi="Arial" w:cs="Arial"/>
          <w:i/>
          <w:sz w:val="24"/>
          <w:szCs w:val="24"/>
        </w:rPr>
        <w:t>Agradecemos primeiramente a Deus, pois sem Ele nós não teríamos traçado o nosso caminho e feito a nossa escolha pela Enfermagem.</w:t>
      </w:r>
    </w:p>
    <w:p w14:paraId="1F63D898"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i/>
          <w:sz w:val="24"/>
          <w:szCs w:val="24"/>
        </w:rPr>
      </w:pPr>
      <w:r>
        <w:rPr>
          <w:rFonts w:ascii="Arial" w:eastAsia="Arial" w:hAnsi="Arial" w:cs="Arial"/>
          <w:i/>
          <w:sz w:val="24"/>
          <w:szCs w:val="24"/>
        </w:rPr>
        <w:t>Aos nossos familiares que doaram seu tempo para que se efetivasse a nossa pesquisa, sem eles nada disso seria possível, eles foram a peça fundamental para a concretização do nosso trabalho. A vocês expressamos o nosso maior agradecimento.</w:t>
      </w:r>
    </w:p>
    <w:p w14:paraId="54791203"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i/>
          <w:sz w:val="24"/>
          <w:szCs w:val="24"/>
        </w:rPr>
      </w:pPr>
      <w:r>
        <w:rPr>
          <w:rFonts w:ascii="Arial" w:eastAsia="Arial" w:hAnsi="Arial" w:cs="Arial"/>
          <w:i/>
          <w:sz w:val="24"/>
          <w:szCs w:val="24"/>
        </w:rPr>
        <w:t>A Faculdade Dama, que sempre tiraram nossas dúvidas e sempre nos ajudaram. Ao seu corpo docente, direção e administração que oportunizaram a janela que hoje vislumbramos um horizonte superior, eivado pela acendrada confiança no mérito e ética aqui presentes.</w:t>
      </w:r>
    </w:p>
    <w:p w14:paraId="43B4F247"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i/>
          <w:sz w:val="24"/>
          <w:szCs w:val="24"/>
        </w:rPr>
      </w:pPr>
      <w:r>
        <w:rPr>
          <w:rFonts w:ascii="Arial" w:eastAsia="Arial" w:hAnsi="Arial" w:cs="Arial"/>
          <w:i/>
          <w:sz w:val="24"/>
          <w:szCs w:val="24"/>
        </w:rPr>
        <w:t>Agradecemos nossos amigos e colegas de turma por terem nos apoiado e ficarem ao nosso lado nas horas em que mais precisávamos. A todos os professores e em especial ao nosso orientador Prof. Esvaldo, por exigir de nós muito mais do que nós supúnhamos ser capazes de fazer. Agradecemos por transmitir seus conhecimentos e por fazer da nossa monografia uma experiência positiva e por ter confiado em nós, sempre estando ali nos orientando e dedicando parte do seu tempo a nós. Gratidão por tudo, pela paciência, pela amizade e pelos ensinamentos que levaremos para sempre.</w:t>
      </w:r>
    </w:p>
    <w:p w14:paraId="0FBF6AEF"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i/>
          <w:sz w:val="24"/>
          <w:szCs w:val="24"/>
        </w:rPr>
      </w:pPr>
      <w:r>
        <w:rPr>
          <w:rFonts w:ascii="Arial" w:eastAsia="Arial" w:hAnsi="Arial" w:cs="Arial"/>
          <w:i/>
          <w:sz w:val="24"/>
          <w:szCs w:val="24"/>
        </w:rPr>
        <w:t>Por fim, agradecemos a todos que direta ou indiretamente fizeram parte da nossa formação, eterna gratidão.</w:t>
      </w:r>
    </w:p>
    <w:p w14:paraId="3D75FDD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7297B84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41849AB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172F1C3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05595DD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5072CDDC"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5F50644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2A25206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6D5943B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1486DE8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1514ADCD"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555C5E7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53A223D9"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0E46236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33C8417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24853EE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26CB5D1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62BE28A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342A291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5078424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3094A57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519BCA99"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60B834A9"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15C9128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5DD7DA4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3CDD692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1516C539"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2598D1F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72BB6AF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1B0339BC"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65CA972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28163D7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7840C6D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6818D9F4"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1C6E5A2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5085755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2AF2748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326D193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1E6C1E7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34DA189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2DED623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i/>
          <w:sz w:val="24"/>
          <w:szCs w:val="24"/>
        </w:rPr>
      </w:pPr>
    </w:p>
    <w:p w14:paraId="06DED020" w14:textId="77777777" w:rsidR="00787BF7" w:rsidRDefault="00000000">
      <w:pPr>
        <w:pBdr>
          <w:top w:val="nil"/>
          <w:left w:val="nil"/>
          <w:bottom w:val="nil"/>
          <w:right w:val="nil"/>
          <w:between w:val="nil"/>
        </w:pBdr>
        <w:spacing w:after="0" w:line="276" w:lineRule="auto"/>
        <w:ind w:left="4536"/>
        <w:jc w:val="both"/>
        <w:rPr>
          <w:rFonts w:ascii="Arial" w:eastAsia="Arial" w:hAnsi="Arial" w:cs="Arial"/>
          <w:i/>
          <w:sz w:val="24"/>
          <w:szCs w:val="24"/>
        </w:rPr>
      </w:pPr>
      <w:r>
        <w:rPr>
          <w:rFonts w:ascii="Arial" w:eastAsia="Arial" w:hAnsi="Arial" w:cs="Arial"/>
          <w:i/>
          <w:sz w:val="24"/>
          <w:szCs w:val="24"/>
        </w:rPr>
        <w:t>“O sucesso nasce do querer, da determinação e persistência em se chegar a um objetivo. Mesmo não atingindo o alvo, quem busca e vence obstáculos, no mínimo fará coisas admiráveis."</w:t>
      </w:r>
    </w:p>
    <w:p w14:paraId="2CE308CF" w14:textId="77777777" w:rsidR="00787BF7" w:rsidRDefault="00000000">
      <w:pPr>
        <w:pBdr>
          <w:top w:val="nil"/>
          <w:left w:val="nil"/>
          <w:bottom w:val="nil"/>
          <w:right w:val="nil"/>
          <w:between w:val="nil"/>
        </w:pBdr>
        <w:spacing w:after="0" w:line="360" w:lineRule="auto"/>
        <w:ind w:firstLine="709"/>
        <w:jc w:val="right"/>
        <w:rPr>
          <w:rFonts w:ascii="Arial" w:eastAsia="Arial" w:hAnsi="Arial" w:cs="Arial"/>
          <w:sz w:val="24"/>
          <w:szCs w:val="24"/>
        </w:rPr>
      </w:pPr>
      <w:r>
        <w:rPr>
          <w:rFonts w:ascii="Arial" w:eastAsia="Arial" w:hAnsi="Arial" w:cs="Arial"/>
          <w:sz w:val="24"/>
          <w:szCs w:val="24"/>
        </w:rPr>
        <w:t>José de Alencar</w:t>
      </w:r>
    </w:p>
    <w:p w14:paraId="1CD5B4FC" w14:textId="77777777" w:rsidR="00787BF7" w:rsidRDefault="00787BF7">
      <w:pPr>
        <w:pBdr>
          <w:top w:val="nil"/>
          <w:left w:val="nil"/>
          <w:bottom w:val="nil"/>
          <w:right w:val="nil"/>
          <w:between w:val="nil"/>
        </w:pBdr>
        <w:spacing w:after="0" w:line="360" w:lineRule="auto"/>
        <w:ind w:firstLine="709"/>
        <w:jc w:val="right"/>
        <w:rPr>
          <w:rFonts w:ascii="Arial" w:eastAsia="Arial" w:hAnsi="Arial" w:cs="Arial"/>
          <w:sz w:val="24"/>
          <w:szCs w:val="24"/>
        </w:rPr>
      </w:pPr>
    </w:p>
    <w:p w14:paraId="4D8CDB79"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t>RESUMO</w:t>
      </w:r>
    </w:p>
    <w:p w14:paraId="2FCC8614"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4406DEE" w14:textId="77777777" w:rsidR="00787BF7" w:rsidRDefault="00000000">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Trata-se de revisão de literatura que teve como objetivo analisar a atuação do enfermeiro no processo de execução do acolhimento com classificação de risco, mediante aos protocolos disponíveis nos recortes dos artigos publicados nos anos </w:t>
      </w:r>
      <w:r>
        <w:rPr>
          <w:rFonts w:ascii="Arial" w:eastAsia="Arial" w:hAnsi="Arial" w:cs="Arial"/>
          <w:color w:val="434343"/>
          <w:sz w:val="24"/>
          <w:szCs w:val="24"/>
        </w:rPr>
        <w:t>2011 a 2021.</w:t>
      </w:r>
      <w:r>
        <w:rPr>
          <w:rFonts w:ascii="Arial" w:eastAsia="Arial" w:hAnsi="Arial" w:cs="Arial"/>
          <w:sz w:val="24"/>
          <w:szCs w:val="24"/>
        </w:rPr>
        <w:t xml:space="preserve"> O propósito da mostra desta pesquisa é apresentar os resultados obtidos por meio dos relatórios de Trabalhos de Conclusão de Curso (TCC), do Curso de Graduação de Enfermagem da Faculdade e Escola Técnica DAMA, situada no município de Canoinhas/SC. A classificação de risco é uma ferramenta que avalia o estado do acolhido que se encontra ao primeiro contato entre o enfermeiro e o paciente, através do protocolo de avaliação será indicado o tempo de espera que o mesmo deve aguardar o seu atendimento médico. A metodologia utilizada para a análise baseia-se na revisão de literatura e pesquisa bibliográfica, por meio de bases de dados encontrados nos artigos científicos “SCIELO” e “MEDLINE” da biblioteca virtual da saúde (BVS). Foram utilizados como critérios de inclusão da pesquisa artigos publicados em português, no período de 2011 a 2021, que abordassem assuntos relacionados à enfermagem no processo de classificação de risco. A exclusão dos artigos que deram-se pesquisados, no mesmo período, é anterior ao ano de 2011 e que depende da avaliação concisa do enfermeiro e do comportamento do indivíduo que está em posição de paciente. Os resultados dessa pesquisa estão identificados no processo de elaboração do Trabalho de Término de Curso dos graduandos de Enfermagem.</w:t>
      </w:r>
    </w:p>
    <w:p w14:paraId="46C613EF" w14:textId="77777777" w:rsidR="00787BF7" w:rsidRDefault="00787BF7">
      <w:pPr>
        <w:pBdr>
          <w:top w:val="nil"/>
          <w:left w:val="nil"/>
          <w:bottom w:val="nil"/>
          <w:right w:val="nil"/>
          <w:between w:val="nil"/>
        </w:pBdr>
        <w:spacing w:after="0" w:line="360" w:lineRule="auto"/>
        <w:jc w:val="both"/>
        <w:rPr>
          <w:rFonts w:ascii="Arial" w:eastAsia="Arial" w:hAnsi="Arial" w:cs="Arial"/>
          <w:sz w:val="24"/>
          <w:szCs w:val="24"/>
        </w:rPr>
      </w:pPr>
    </w:p>
    <w:p w14:paraId="37F794D0" w14:textId="77777777" w:rsidR="00787BF7" w:rsidRDefault="00000000">
      <w:pPr>
        <w:pBdr>
          <w:top w:val="nil"/>
          <w:left w:val="nil"/>
          <w:bottom w:val="nil"/>
          <w:right w:val="nil"/>
          <w:between w:val="nil"/>
        </w:pBdr>
        <w:spacing w:after="0" w:line="360" w:lineRule="auto"/>
        <w:jc w:val="both"/>
        <w:rPr>
          <w:rFonts w:ascii="Arial" w:eastAsia="Arial" w:hAnsi="Arial" w:cs="Arial"/>
          <w:sz w:val="24"/>
          <w:szCs w:val="24"/>
        </w:rPr>
      </w:pPr>
      <w:r>
        <w:rPr>
          <w:rFonts w:ascii="Arial" w:eastAsia="Arial" w:hAnsi="Arial" w:cs="Arial"/>
          <w:b/>
          <w:sz w:val="24"/>
          <w:szCs w:val="24"/>
        </w:rPr>
        <w:t xml:space="preserve">Palavras-chave: </w:t>
      </w:r>
      <w:r>
        <w:rPr>
          <w:rFonts w:ascii="Arial" w:eastAsia="Arial" w:hAnsi="Arial" w:cs="Arial"/>
          <w:sz w:val="24"/>
          <w:szCs w:val="24"/>
        </w:rPr>
        <w:t>Classificação de Risco. Protocolo Manchester. Enfermagem.</w:t>
      </w:r>
    </w:p>
    <w:p w14:paraId="3014B30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523CCC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9730C6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DB0F5F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8D9A17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013E85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6C4F51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CFC83D9"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E5AF0A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1CF01D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D85B63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DAD6A6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0D6B66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820328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63E7BB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61C26A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1044124"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t>ABSTRACT</w:t>
      </w:r>
    </w:p>
    <w:p w14:paraId="5B43E5CE" w14:textId="77777777" w:rsidR="00787BF7" w:rsidRDefault="00787BF7">
      <w:pPr>
        <w:pBdr>
          <w:top w:val="nil"/>
          <w:left w:val="nil"/>
          <w:bottom w:val="nil"/>
          <w:right w:val="nil"/>
          <w:between w:val="nil"/>
        </w:pBdr>
        <w:spacing w:after="0" w:line="240" w:lineRule="auto"/>
        <w:jc w:val="both"/>
        <w:rPr>
          <w:rFonts w:ascii="Arial" w:eastAsia="Arial" w:hAnsi="Arial" w:cs="Arial"/>
          <w:sz w:val="24"/>
          <w:szCs w:val="24"/>
        </w:rPr>
      </w:pPr>
    </w:p>
    <w:p w14:paraId="56D406F9" w14:textId="77777777" w:rsidR="00787BF7" w:rsidRDefault="00000000">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This is a literature review that aimed to analyze the role of nurses in the process of performing user embracement with risk classification, through the protocols available in the clippings of articles published in the years 2011 to 2021. The purpose of the sample of this research is to present the results obtained through the reports of Course Completion Works (TCC), of the Nursing Graduation Course of the Faculty and Technical School DAMA, located in the city of Canoinhas/SC. The risk classification is a tool that assesses the state of the host who is at the first contact between the nurse and the patient, through the evaluation protocol, the waiting time that he must wait for his medical care will be indicated. The methodology used for the analysis is based on literature review and bibliographic research, through databases found in scientific articles “SCIELO” and “MEDLINE” from the virtual health library (BVS). Articles published in Portuguese from 2011 to 2021, which addressed issues related to nursing in the risk classification process, were used as inclusion criteria for the research. The exclusion of articles that were researched, in the same period, is prior to the year 2010 and that depends on the concise assessment of the nurse and the behavior of the individual who is in the position of patient. The results of this research are identified in the process of elaboration of the Final Course Work of Nursing undergraduates.</w:t>
      </w:r>
    </w:p>
    <w:p w14:paraId="1F1C50F5" w14:textId="77777777" w:rsidR="00787BF7" w:rsidRDefault="00787BF7">
      <w:pPr>
        <w:pBdr>
          <w:top w:val="nil"/>
          <w:left w:val="nil"/>
          <w:bottom w:val="nil"/>
          <w:right w:val="nil"/>
          <w:between w:val="nil"/>
        </w:pBdr>
        <w:spacing w:after="0" w:line="360" w:lineRule="auto"/>
        <w:jc w:val="both"/>
        <w:rPr>
          <w:rFonts w:ascii="Arial" w:eastAsia="Arial" w:hAnsi="Arial" w:cs="Arial"/>
          <w:b/>
          <w:sz w:val="24"/>
          <w:szCs w:val="24"/>
        </w:rPr>
      </w:pPr>
    </w:p>
    <w:p w14:paraId="1C5A79F5" w14:textId="77777777" w:rsidR="00787BF7" w:rsidRDefault="00000000">
      <w:pPr>
        <w:pBdr>
          <w:top w:val="nil"/>
          <w:left w:val="nil"/>
          <w:bottom w:val="nil"/>
          <w:right w:val="nil"/>
          <w:between w:val="nil"/>
        </w:pBdr>
        <w:spacing w:after="0" w:line="360" w:lineRule="auto"/>
        <w:jc w:val="both"/>
        <w:rPr>
          <w:rFonts w:ascii="Arial" w:eastAsia="Arial" w:hAnsi="Arial" w:cs="Arial"/>
          <w:sz w:val="24"/>
          <w:szCs w:val="24"/>
        </w:rPr>
      </w:pPr>
      <w:r>
        <w:rPr>
          <w:rFonts w:ascii="Arial" w:eastAsia="Arial" w:hAnsi="Arial" w:cs="Arial"/>
          <w:b/>
          <w:sz w:val="24"/>
          <w:szCs w:val="24"/>
        </w:rPr>
        <w:t>Keywords</w:t>
      </w:r>
      <w:r>
        <w:rPr>
          <w:rFonts w:ascii="Arial" w:eastAsia="Arial" w:hAnsi="Arial" w:cs="Arial"/>
          <w:sz w:val="24"/>
          <w:szCs w:val="24"/>
        </w:rPr>
        <w:t>: Risk rating. Manchester Protocol. Nursing.</w:t>
      </w:r>
    </w:p>
    <w:p w14:paraId="5605734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A23A13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3EC869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3F3E689"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EDFD889"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C82AD2D"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C3A740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9824B3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68B936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3A2D93D"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974FEE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863ECF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C867BAD"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E435B4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912E02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42D4AB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897806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725E54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3D9CA48"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t>LISTA DE ILUSTRAÇÕES</w:t>
      </w:r>
    </w:p>
    <w:p w14:paraId="7531FECD"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sdt>
      <w:sdtPr>
        <w:id w:val="-1578052674"/>
        <w:docPartObj>
          <w:docPartGallery w:val="Table of Contents"/>
          <w:docPartUnique/>
        </w:docPartObj>
      </w:sdtPr>
      <w:sdtContent>
        <w:p w14:paraId="1A08E5BA" w14:textId="77777777" w:rsidR="00787BF7" w:rsidRDefault="00000000">
          <w:pPr>
            <w:pBdr>
              <w:top w:val="nil"/>
              <w:left w:val="nil"/>
              <w:bottom w:val="nil"/>
              <w:right w:val="nil"/>
              <w:between w:val="nil"/>
            </w:pBdr>
            <w:tabs>
              <w:tab w:val="right" w:pos="9062"/>
            </w:tabs>
            <w:spacing w:after="0" w:line="360" w:lineRule="auto"/>
            <w:ind w:left="1276" w:hanging="1276"/>
          </w:pPr>
          <w:r>
            <w:fldChar w:fldCharType="begin"/>
          </w:r>
          <w:r>
            <w:instrText xml:space="preserve"> TOC \h \u \z </w:instrText>
          </w:r>
          <w:r>
            <w:fldChar w:fldCharType="separate"/>
          </w:r>
          <w:hyperlink w:anchor="_heading=h.35nkun2">
            <w:r>
              <w:rPr>
                <w:rFonts w:ascii="Arial" w:eastAsia="Arial" w:hAnsi="Arial" w:cs="Arial"/>
                <w:sz w:val="24"/>
                <w:szCs w:val="24"/>
              </w:rPr>
              <w:t>Figura 1 – Classificação de Risco - Protocolo Manchester.</w:t>
            </w:r>
            <w:r>
              <w:rPr>
                <w:rFonts w:ascii="Arial" w:eastAsia="Arial" w:hAnsi="Arial" w:cs="Arial"/>
                <w:sz w:val="24"/>
                <w:szCs w:val="24"/>
              </w:rPr>
              <w:tab/>
              <w:t>26</w:t>
            </w:r>
          </w:hyperlink>
        </w:p>
        <w:p w14:paraId="6261CFBC" w14:textId="77777777" w:rsidR="00787BF7" w:rsidRDefault="00000000">
          <w:pPr>
            <w:pBdr>
              <w:top w:val="nil"/>
              <w:left w:val="nil"/>
              <w:bottom w:val="nil"/>
              <w:right w:val="nil"/>
              <w:between w:val="nil"/>
            </w:pBdr>
            <w:tabs>
              <w:tab w:val="right" w:pos="9062"/>
            </w:tabs>
            <w:spacing w:after="0" w:line="360" w:lineRule="auto"/>
            <w:ind w:left="1276" w:hanging="1276"/>
          </w:pPr>
          <w:hyperlink w:anchor="_heading=h.1ksv4uv">
            <w:r>
              <w:rPr>
                <w:rFonts w:ascii="Arial" w:eastAsia="Arial" w:hAnsi="Arial" w:cs="Arial"/>
                <w:sz w:val="24"/>
                <w:szCs w:val="24"/>
              </w:rPr>
              <w:t>Quadro 1 – Níveis de gravidade em escala de cores e tempo de atendimento, segundo o protocolo de Manchester</w:t>
            </w:r>
            <w:r>
              <w:rPr>
                <w:rFonts w:ascii="Arial" w:eastAsia="Arial" w:hAnsi="Arial" w:cs="Arial"/>
                <w:sz w:val="24"/>
                <w:szCs w:val="24"/>
              </w:rPr>
              <w:tab/>
              <w:t>27</w:t>
            </w:r>
          </w:hyperlink>
        </w:p>
        <w:p w14:paraId="5D6B3DDB" w14:textId="77777777" w:rsidR="00787BF7" w:rsidRDefault="00000000">
          <w:pPr>
            <w:pBdr>
              <w:top w:val="nil"/>
              <w:left w:val="nil"/>
              <w:bottom w:val="nil"/>
              <w:right w:val="nil"/>
              <w:between w:val="nil"/>
            </w:pBdr>
            <w:tabs>
              <w:tab w:val="right" w:pos="9062"/>
            </w:tabs>
            <w:spacing w:after="0" w:line="360" w:lineRule="auto"/>
            <w:ind w:left="1276" w:hanging="1276"/>
          </w:pPr>
          <w:hyperlink w:anchor="_heading=h.44sinio">
            <w:r>
              <w:rPr>
                <w:rFonts w:ascii="Arial" w:eastAsia="Arial" w:hAnsi="Arial" w:cs="Arial"/>
                <w:sz w:val="24"/>
                <w:szCs w:val="24"/>
              </w:rPr>
              <w:t>Quadro 2 – Protocolo de Classificação de Risco, segundo a queixa e a clínica apresentada pelo usuário.</w:t>
            </w:r>
            <w:r>
              <w:rPr>
                <w:rFonts w:ascii="Arial" w:eastAsia="Arial" w:hAnsi="Arial" w:cs="Arial"/>
                <w:sz w:val="24"/>
                <w:szCs w:val="24"/>
              </w:rPr>
              <w:tab/>
              <w:t>28</w:t>
            </w:r>
          </w:hyperlink>
        </w:p>
        <w:p w14:paraId="7630DD3C" w14:textId="77777777" w:rsidR="00787BF7" w:rsidRDefault="00000000">
          <w:pPr>
            <w:pBdr>
              <w:top w:val="nil"/>
              <w:left w:val="nil"/>
              <w:bottom w:val="nil"/>
              <w:right w:val="nil"/>
              <w:between w:val="nil"/>
            </w:pBdr>
            <w:tabs>
              <w:tab w:val="right" w:pos="9062"/>
            </w:tabs>
            <w:spacing w:after="0" w:line="360" w:lineRule="auto"/>
            <w:ind w:left="1276" w:hanging="1276"/>
          </w:pPr>
          <w:hyperlink w:anchor="_heading=h.4i7ojhp">
            <w:r>
              <w:rPr>
                <w:rFonts w:ascii="Arial" w:eastAsia="Arial" w:hAnsi="Arial" w:cs="Arial"/>
                <w:sz w:val="24"/>
                <w:szCs w:val="24"/>
              </w:rPr>
              <w:t>Tabela 1 – Distribuição dos artigos conforme nos anos de 2010-2021.</w:t>
            </w:r>
            <w:r>
              <w:rPr>
                <w:rFonts w:ascii="Arial" w:eastAsia="Arial" w:hAnsi="Arial" w:cs="Arial"/>
                <w:sz w:val="24"/>
                <w:szCs w:val="24"/>
              </w:rPr>
              <w:tab/>
              <w:t>32</w:t>
            </w:r>
          </w:hyperlink>
        </w:p>
        <w:p w14:paraId="4BA44F77" w14:textId="77777777" w:rsidR="00787BF7" w:rsidRDefault="00000000">
          <w:pPr>
            <w:pBdr>
              <w:top w:val="nil"/>
              <w:left w:val="nil"/>
              <w:bottom w:val="nil"/>
              <w:right w:val="nil"/>
              <w:between w:val="nil"/>
            </w:pBdr>
            <w:tabs>
              <w:tab w:val="right" w:pos="9062"/>
            </w:tabs>
            <w:spacing w:after="0" w:line="360" w:lineRule="auto"/>
            <w:ind w:left="1276" w:hanging="1276"/>
          </w:pPr>
          <w:hyperlink w:anchor="_heading=h.2xcytpi">
            <w:r>
              <w:rPr>
                <w:rFonts w:ascii="Arial" w:eastAsia="Arial" w:hAnsi="Arial" w:cs="Arial"/>
                <w:sz w:val="24"/>
                <w:szCs w:val="24"/>
              </w:rPr>
              <w:t>Quadro 3 – Quadro</w:t>
            </w:r>
          </w:hyperlink>
          <w:hyperlink w:anchor="_heading=h.2xcytpi">
            <w:r>
              <w:rPr>
                <w:rFonts w:ascii="Arial" w:eastAsia="Arial" w:hAnsi="Arial" w:cs="Arial"/>
                <w:b/>
                <w:sz w:val="24"/>
                <w:szCs w:val="24"/>
              </w:rPr>
              <w:t xml:space="preserve"> sinóptico - Apresentação dos artigos selecionados.</w:t>
            </w:r>
          </w:hyperlink>
          <w:hyperlink w:anchor="_heading=h.2xcytpi">
            <w:r>
              <w:rPr>
                <w:rFonts w:ascii="Arial" w:eastAsia="Arial" w:hAnsi="Arial" w:cs="Arial"/>
                <w:sz w:val="24"/>
                <w:szCs w:val="24"/>
              </w:rPr>
              <w:tab/>
              <w:t>34</w:t>
            </w:r>
          </w:hyperlink>
        </w:p>
        <w:p w14:paraId="79896E0E" w14:textId="77777777" w:rsidR="00787BF7" w:rsidRDefault="00000000">
          <w:pPr>
            <w:pBdr>
              <w:top w:val="nil"/>
              <w:left w:val="nil"/>
              <w:bottom w:val="nil"/>
              <w:right w:val="nil"/>
              <w:between w:val="nil"/>
            </w:pBdr>
            <w:spacing w:after="0" w:line="360" w:lineRule="auto"/>
            <w:ind w:left="1276" w:hanging="1276"/>
            <w:jc w:val="both"/>
            <w:rPr>
              <w:rFonts w:ascii="Arial" w:eastAsia="Arial" w:hAnsi="Arial" w:cs="Arial"/>
              <w:sz w:val="24"/>
              <w:szCs w:val="24"/>
            </w:rPr>
          </w:pPr>
          <w:r>
            <w:fldChar w:fldCharType="end"/>
          </w:r>
        </w:p>
      </w:sdtContent>
    </w:sdt>
    <w:p w14:paraId="2850098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18A05A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708162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C460C3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64F691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F800374"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D11606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EABC1D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E38CD1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421DA94"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1CB421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DB2925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6A5F43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796DA8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14AC3F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C4BA5E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D2969D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8CE106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459360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D7BBF1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F5E562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11CFC79"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00E9F0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BF786B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1F70227"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t>LISTA DE ABREVIATURAS E SIGLAS</w:t>
      </w:r>
    </w:p>
    <w:p w14:paraId="0C1A617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B190CA2" w14:textId="77777777" w:rsidR="00787BF7" w:rsidRDefault="00000000">
      <w:pPr>
        <w:pBdr>
          <w:top w:val="nil"/>
          <w:left w:val="nil"/>
          <w:bottom w:val="nil"/>
          <w:right w:val="nil"/>
          <w:between w:val="nil"/>
        </w:pBdr>
        <w:spacing w:after="0" w:line="360" w:lineRule="auto"/>
        <w:jc w:val="both"/>
        <w:rPr>
          <w:rFonts w:ascii="Arial" w:eastAsia="Arial" w:hAnsi="Arial" w:cs="Arial"/>
          <w:sz w:val="24"/>
          <w:szCs w:val="24"/>
        </w:rPr>
      </w:pPr>
      <w:r>
        <w:rPr>
          <w:rFonts w:ascii="Arial" w:eastAsia="Arial" w:hAnsi="Arial" w:cs="Arial"/>
          <w:sz w:val="24"/>
          <w:szCs w:val="24"/>
        </w:rPr>
        <w:t>ACCR – Acolhimento com Classificação e Avaliação de Risco</w:t>
      </w:r>
    </w:p>
    <w:p w14:paraId="3B0681DC" w14:textId="77777777" w:rsidR="00787BF7" w:rsidRDefault="00000000">
      <w:pPr>
        <w:pBdr>
          <w:top w:val="nil"/>
          <w:left w:val="nil"/>
          <w:bottom w:val="nil"/>
          <w:right w:val="nil"/>
          <w:between w:val="nil"/>
        </w:pBdr>
        <w:spacing w:after="0" w:line="360" w:lineRule="auto"/>
        <w:jc w:val="both"/>
        <w:rPr>
          <w:rFonts w:ascii="Arial" w:eastAsia="Arial" w:hAnsi="Arial" w:cs="Arial"/>
          <w:sz w:val="24"/>
          <w:szCs w:val="24"/>
        </w:rPr>
      </w:pPr>
      <w:r>
        <w:rPr>
          <w:rFonts w:ascii="Arial" w:eastAsia="Arial" w:hAnsi="Arial" w:cs="Arial"/>
          <w:sz w:val="24"/>
          <w:szCs w:val="24"/>
        </w:rPr>
        <w:t>BVS – Biblioteca Virtual de Saúde</w:t>
      </w:r>
    </w:p>
    <w:p w14:paraId="03B0BB0E" w14:textId="77777777" w:rsidR="00787BF7" w:rsidRDefault="00000000">
      <w:pPr>
        <w:pBdr>
          <w:top w:val="nil"/>
          <w:left w:val="nil"/>
          <w:bottom w:val="nil"/>
          <w:right w:val="nil"/>
          <w:between w:val="nil"/>
        </w:pBdr>
        <w:spacing w:after="0" w:line="360" w:lineRule="auto"/>
        <w:jc w:val="both"/>
        <w:rPr>
          <w:rFonts w:ascii="Arial" w:eastAsia="Arial" w:hAnsi="Arial" w:cs="Arial"/>
          <w:sz w:val="24"/>
          <w:szCs w:val="24"/>
        </w:rPr>
      </w:pPr>
      <w:r>
        <w:rPr>
          <w:rFonts w:ascii="Arial" w:eastAsia="Arial" w:hAnsi="Arial" w:cs="Arial"/>
          <w:sz w:val="24"/>
          <w:szCs w:val="24"/>
        </w:rPr>
        <w:t>CFM – Conselho Federal de Medicina</w:t>
      </w:r>
    </w:p>
    <w:p w14:paraId="2E04AB4E" w14:textId="77777777" w:rsidR="00787BF7" w:rsidRDefault="00000000">
      <w:pPr>
        <w:pBdr>
          <w:top w:val="nil"/>
          <w:left w:val="nil"/>
          <w:bottom w:val="nil"/>
          <w:right w:val="nil"/>
          <w:between w:val="nil"/>
        </w:pBdr>
        <w:spacing w:after="0" w:line="360" w:lineRule="auto"/>
        <w:jc w:val="both"/>
        <w:rPr>
          <w:rFonts w:ascii="Arial" w:eastAsia="Arial" w:hAnsi="Arial" w:cs="Arial"/>
          <w:sz w:val="24"/>
          <w:szCs w:val="24"/>
        </w:rPr>
      </w:pPr>
      <w:r>
        <w:rPr>
          <w:rFonts w:ascii="Arial" w:eastAsia="Arial" w:hAnsi="Arial" w:cs="Arial"/>
          <w:sz w:val="24"/>
          <w:szCs w:val="24"/>
        </w:rPr>
        <w:t>COFEN – Conselho Federal de Enfermagem</w:t>
      </w:r>
    </w:p>
    <w:p w14:paraId="042C910D" w14:textId="77777777" w:rsidR="00787BF7" w:rsidRDefault="00000000">
      <w:pPr>
        <w:pBdr>
          <w:top w:val="nil"/>
          <w:left w:val="nil"/>
          <w:bottom w:val="nil"/>
          <w:right w:val="nil"/>
          <w:between w:val="nil"/>
        </w:pBdr>
        <w:spacing w:after="0" w:line="360" w:lineRule="auto"/>
        <w:jc w:val="both"/>
        <w:rPr>
          <w:rFonts w:ascii="Arial" w:eastAsia="Arial" w:hAnsi="Arial" w:cs="Arial"/>
          <w:sz w:val="24"/>
          <w:szCs w:val="24"/>
        </w:rPr>
      </w:pPr>
      <w:r>
        <w:rPr>
          <w:rFonts w:ascii="Arial" w:eastAsia="Arial" w:hAnsi="Arial" w:cs="Arial"/>
          <w:sz w:val="24"/>
          <w:szCs w:val="24"/>
        </w:rPr>
        <w:t>COREN – Conselho Regional de Enfermagem</w:t>
      </w:r>
    </w:p>
    <w:p w14:paraId="3CC55EAA" w14:textId="77777777" w:rsidR="00787BF7" w:rsidRDefault="00000000">
      <w:pPr>
        <w:pBdr>
          <w:top w:val="nil"/>
          <w:left w:val="nil"/>
          <w:bottom w:val="nil"/>
          <w:right w:val="nil"/>
          <w:between w:val="nil"/>
        </w:pBdr>
        <w:spacing w:after="0" w:line="360" w:lineRule="auto"/>
        <w:jc w:val="both"/>
        <w:rPr>
          <w:rFonts w:ascii="Arial" w:eastAsia="Arial" w:hAnsi="Arial" w:cs="Arial"/>
          <w:sz w:val="24"/>
          <w:szCs w:val="24"/>
        </w:rPr>
      </w:pPr>
      <w:r>
        <w:rPr>
          <w:rFonts w:ascii="Arial" w:eastAsia="Arial" w:hAnsi="Arial" w:cs="Arial"/>
          <w:sz w:val="24"/>
          <w:szCs w:val="24"/>
        </w:rPr>
        <w:t>EMG – Emergência</w:t>
      </w:r>
    </w:p>
    <w:p w14:paraId="7ACD6969" w14:textId="77777777" w:rsidR="00787BF7" w:rsidRDefault="00000000">
      <w:pPr>
        <w:pBdr>
          <w:top w:val="nil"/>
          <w:left w:val="nil"/>
          <w:bottom w:val="nil"/>
          <w:right w:val="nil"/>
          <w:between w:val="nil"/>
        </w:pBdr>
        <w:spacing w:after="0" w:line="360" w:lineRule="auto"/>
        <w:jc w:val="both"/>
        <w:rPr>
          <w:rFonts w:ascii="Arial" w:eastAsia="Arial" w:hAnsi="Arial" w:cs="Arial"/>
          <w:sz w:val="24"/>
          <w:szCs w:val="24"/>
        </w:rPr>
      </w:pPr>
      <w:r>
        <w:rPr>
          <w:rFonts w:ascii="Arial" w:eastAsia="Arial" w:hAnsi="Arial" w:cs="Arial"/>
          <w:sz w:val="24"/>
          <w:szCs w:val="24"/>
        </w:rPr>
        <w:t>GBCR – Grupo Brasileiro de Classificação de Risco</w:t>
      </w:r>
    </w:p>
    <w:p w14:paraId="3551D030" w14:textId="77777777" w:rsidR="00787BF7" w:rsidRDefault="00000000">
      <w:pPr>
        <w:pBdr>
          <w:top w:val="nil"/>
          <w:left w:val="nil"/>
          <w:bottom w:val="nil"/>
          <w:right w:val="nil"/>
          <w:between w:val="nil"/>
        </w:pBdr>
        <w:spacing w:after="0" w:line="360" w:lineRule="auto"/>
        <w:jc w:val="both"/>
        <w:rPr>
          <w:rFonts w:ascii="Arial" w:eastAsia="Arial" w:hAnsi="Arial" w:cs="Arial"/>
          <w:sz w:val="24"/>
          <w:szCs w:val="24"/>
        </w:rPr>
      </w:pPr>
      <w:r>
        <w:rPr>
          <w:rFonts w:ascii="Arial" w:eastAsia="Arial" w:hAnsi="Arial" w:cs="Arial"/>
          <w:sz w:val="24"/>
          <w:szCs w:val="24"/>
        </w:rPr>
        <w:t>PNH – Política Nacional de Humanização</w:t>
      </w:r>
    </w:p>
    <w:p w14:paraId="1EACA2C6" w14:textId="77777777" w:rsidR="00787BF7" w:rsidRDefault="00000000">
      <w:pPr>
        <w:pBdr>
          <w:top w:val="nil"/>
          <w:left w:val="nil"/>
          <w:bottom w:val="nil"/>
          <w:right w:val="nil"/>
          <w:between w:val="nil"/>
        </w:pBdr>
        <w:spacing w:after="0" w:line="360" w:lineRule="auto"/>
        <w:jc w:val="both"/>
        <w:rPr>
          <w:rFonts w:ascii="Arial" w:eastAsia="Arial" w:hAnsi="Arial" w:cs="Arial"/>
          <w:sz w:val="24"/>
          <w:szCs w:val="24"/>
        </w:rPr>
      </w:pPr>
      <w:r>
        <w:rPr>
          <w:rFonts w:ascii="Arial" w:eastAsia="Arial" w:hAnsi="Arial" w:cs="Arial"/>
          <w:sz w:val="24"/>
          <w:szCs w:val="24"/>
        </w:rPr>
        <w:t>SEH – Serviço de Emergência Hospitalares</w:t>
      </w:r>
    </w:p>
    <w:p w14:paraId="5FED3788" w14:textId="77777777" w:rsidR="00787BF7" w:rsidRDefault="00000000">
      <w:pPr>
        <w:pBdr>
          <w:top w:val="nil"/>
          <w:left w:val="nil"/>
          <w:bottom w:val="nil"/>
          <w:right w:val="nil"/>
          <w:between w:val="nil"/>
        </w:pBdr>
        <w:spacing w:after="0" w:line="360" w:lineRule="auto"/>
        <w:jc w:val="both"/>
        <w:rPr>
          <w:rFonts w:ascii="Arial" w:eastAsia="Arial" w:hAnsi="Arial" w:cs="Arial"/>
          <w:sz w:val="24"/>
          <w:szCs w:val="24"/>
        </w:rPr>
      </w:pPr>
      <w:r>
        <w:rPr>
          <w:rFonts w:ascii="Arial" w:eastAsia="Arial" w:hAnsi="Arial" w:cs="Arial"/>
          <w:sz w:val="24"/>
          <w:szCs w:val="24"/>
        </w:rPr>
        <w:t>STM – Sistema de Triagem Manchester</w:t>
      </w:r>
    </w:p>
    <w:p w14:paraId="2A783FB0" w14:textId="77777777" w:rsidR="00787BF7" w:rsidRDefault="00000000">
      <w:pPr>
        <w:pBdr>
          <w:top w:val="nil"/>
          <w:left w:val="nil"/>
          <w:bottom w:val="nil"/>
          <w:right w:val="nil"/>
          <w:between w:val="nil"/>
        </w:pBdr>
        <w:spacing w:after="0" w:line="360" w:lineRule="auto"/>
        <w:jc w:val="both"/>
        <w:rPr>
          <w:rFonts w:ascii="Arial" w:eastAsia="Arial" w:hAnsi="Arial" w:cs="Arial"/>
          <w:sz w:val="24"/>
          <w:szCs w:val="24"/>
        </w:rPr>
      </w:pPr>
      <w:r>
        <w:rPr>
          <w:rFonts w:ascii="Arial" w:eastAsia="Arial" w:hAnsi="Arial" w:cs="Arial"/>
          <w:sz w:val="24"/>
          <w:szCs w:val="24"/>
        </w:rPr>
        <w:t>SUS – Sistema Único de Saúde</w:t>
      </w:r>
    </w:p>
    <w:p w14:paraId="62301043" w14:textId="77777777" w:rsidR="00787BF7" w:rsidRDefault="00000000">
      <w:pPr>
        <w:pBdr>
          <w:top w:val="nil"/>
          <w:left w:val="nil"/>
          <w:bottom w:val="nil"/>
          <w:right w:val="nil"/>
          <w:between w:val="nil"/>
        </w:pBdr>
        <w:spacing w:after="0" w:line="360" w:lineRule="auto"/>
        <w:jc w:val="both"/>
        <w:rPr>
          <w:rFonts w:ascii="Arial" w:eastAsia="Arial" w:hAnsi="Arial" w:cs="Arial"/>
          <w:sz w:val="24"/>
          <w:szCs w:val="24"/>
        </w:rPr>
      </w:pPr>
      <w:r>
        <w:rPr>
          <w:rFonts w:ascii="Arial" w:eastAsia="Arial" w:hAnsi="Arial" w:cs="Arial"/>
          <w:sz w:val="24"/>
          <w:szCs w:val="24"/>
        </w:rPr>
        <w:t>UPA – Unidades de Pronto Atendimentos</w:t>
      </w:r>
    </w:p>
    <w:p w14:paraId="68ECC58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E63FC6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CD5F1A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6A35F8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49517D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6C12DF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C0D048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A732719"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EAFE08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C46150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7A09F6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8101CA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D289554"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8F57CD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CC2852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D7B8649"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6DB52D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70513E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8D8BDE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DF97FD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7A919F1" w14:textId="77777777" w:rsidR="00787BF7" w:rsidRDefault="00000000">
      <w:pPr>
        <w:pBdr>
          <w:top w:val="nil"/>
          <w:left w:val="nil"/>
          <w:bottom w:val="nil"/>
          <w:right w:val="nil"/>
          <w:between w:val="nil"/>
        </w:pBdr>
        <w:spacing w:after="0" w:line="360" w:lineRule="auto"/>
        <w:jc w:val="center"/>
        <w:rPr>
          <w:rFonts w:ascii="Arial" w:eastAsia="Arial" w:hAnsi="Arial" w:cs="Arial"/>
          <w:b/>
          <w:sz w:val="24"/>
          <w:szCs w:val="24"/>
        </w:rPr>
      </w:pPr>
      <w:r>
        <w:rPr>
          <w:rFonts w:ascii="Arial" w:eastAsia="Arial" w:hAnsi="Arial" w:cs="Arial"/>
          <w:b/>
          <w:sz w:val="24"/>
          <w:szCs w:val="24"/>
        </w:rPr>
        <w:t>SUMÁRIO</w:t>
      </w:r>
    </w:p>
    <w:p w14:paraId="6D55020C"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sdt>
      <w:sdtPr>
        <w:id w:val="-2056851394"/>
        <w:docPartObj>
          <w:docPartGallery w:val="Table of Contents"/>
          <w:docPartUnique/>
        </w:docPartObj>
      </w:sdtPr>
      <w:sdtContent>
        <w:p w14:paraId="713C7BD8" w14:textId="77777777" w:rsidR="00787BF7" w:rsidRDefault="00000000">
          <w:pPr>
            <w:pBdr>
              <w:top w:val="nil"/>
              <w:left w:val="nil"/>
              <w:bottom w:val="nil"/>
              <w:right w:val="nil"/>
              <w:between w:val="nil"/>
            </w:pBdr>
            <w:tabs>
              <w:tab w:val="right" w:pos="9062"/>
            </w:tabs>
            <w:spacing w:after="0" w:line="360" w:lineRule="auto"/>
            <w:ind w:left="426" w:hanging="426"/>
          </w:pPr>
          <w:r>
            <w:fldChar w:fldCharType="begin"/>
          </w:r>
          <w:r>
            <w:instrText xml:space="preserve"> TOC \h \u \z </w:instrText>
          </w:r>
          <w:r>
            <w:fldChar w:fldCharType="separate"/>
          </w:r>
          <w:hyperlink w:anchor="_heading=h.gjdgxs">
            <w:r>
              <w:rPr>
                <w:rFonts w:ascii="Arial" w:eastAsia="Arial" w:hAnsi="Arial" w:cs="Arial"/>
                <w:b/>
                <w:sz w:val="24"/>
                <w:szCs w:val="24"/>
              </w:rPr>
              <w:t>1 INTRODUÇÃO</w:t>
            </w:r>
            <w:r>
              <w:rPr>
                <w:rFonts w:ascii="Arial" w:eastAsia="Arial" w:hAnsi="Arial" w:cs="Arial"/>
                <w:b/>
                <w:sz w:val="24"/>
                <w:szCs w:val="24"/>
              </w:rPr>
              <w:tab/>
              <w:t>12</w:t>
            </w:r>
          </w:hyperlink>
        </w:p>
        <w:p w14:paraId="3868067B"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1fob9te">
            <w:r>
              <w:rPr>
                <w:rFonts w:ascii="Arial" w:eastAsia="Arial" w:hAnsi="Arial" w:cs="Arial"/>
                <w:sz w:val="24"/>
                <w:szCs w:val="24"/>
              </w:rPr>
              <w:t>1.2 OBJETIVOS</w:t>
            </w:r>
            <w:r>
              <w:rPr>
                <w:rFonts w:ascii="Arial" w:eastAsia="Arial" w:hAnsi="Arial" w:cs="Arial"/>
                <w:sz w:val="24"/>
                <w:szCs w:val="24"/>
              </w:rPr>
              <w:tab/>
              <w:t>14</w:t>
            </w:r>
          </w:hyperlink>
        </w:p>
        <w:p w14:paraId="09CD5DA6"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3znysh7">
            <w:r>
              <w:rPr>
                <w:rFonts w:ascii="Arial" w:eastAsia="Arial" w:hAnsi="Arial" w:cs="Arial"/>
                <w:sz w:val="24"/>
                <w:szCs w:val="24"/>
              </w:rPr>
              <w:t>1.2.1 Objetivo Geral</w:t>
            </w:r>
            <w:r>
              <w:rPr>
                <w:rFonts w:ascii="Arial" w:eastAsia="Arial" w:hAnsi="Arial" w:cs="Arial"/>
                <w:sz w:val="24"/>
                <w:szCs w:val="24"/>
              </w:rPr>
              <w:tab/>
              <w:t>14</w:t>
            </w:r>
          </w:hyperlink>
        </w:p>
        <w:p w14:paraId="268E6F4A"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2et92p0">
            <w:r>
              <w:rPr>
                <w:rFonts w:ascii="Arial" w:eastAsia="Arial" w:hAnsi="Arial" w:cs="Arial"/>
                <w:sz w:val="24"/>
                <w:szCs w:val="24"/>
              </w:rPr>
              <w:t>1.2.2 Objetivos Específicos</w:t>
            </w:r>
            <w:r>
              <w:rPr>
                <w:rFonts w:ascii="Arial" w:eastAsia="Arial" w:hAnsi="Arial" w:cs="Arial"/>
                <w:sz w:val="24"/>
                <w:szCs w:val="24"/>
              </w:rPr>
              <w:tab/>
              <w:t>14</w:t>
            </w:r>
          </w:hyperlink>
        </w:p>
        <w:p w14:paraId="41503663"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tyjcwt">
            <w:r>
              <w:rPr>
                <w:rFonts w:ascii="Arial" w:eastAsia="Arial" w:hAnsi="Arial" w:cs="Arial"/>
                <w:b/>
                <w:sz w:val="24"/>
                <w:szCs w:val="24"/>
              </w:rPr>
              <w:t xml:space="preserve">2 </w:t>
            </w:r>
          </w:hyperlink>
          <w:hyperlink w:anchor="_heading=h.tyjcwt">
            <w:r>
              <w:rPr>
                <w:rFonts w:ascii="Arial" w:eastAsia="Arial" w:hAnsi="Arial" w:cs="Arial"/>
                <w:b/>
                <w:sz w:val="24"/>
                <w:szCs w:val="24"/>
              </w:rPr>
              <w:t>REFERENCIAL TEÓRICO</w:t>
            </w:r>
          </w:hyperlink>
          <w:hyperlink w:anchor="_heading=h.tyjcwt">
            <w:r>
              <w:rPr>
                <w:rFonts w:ascii="Arial" w:eastAsia="Arial" w:hAnsi="Arial" w:cs="Arial"/>
                <w:b/>
                <w:sz w:val="24"/>
                <w:szCs w:val="24"/>
              </w:rPr>
              <w:tab/>
              <w:t>16</w:t>
            </w:r>
          </w:hyperlink>
        </w:p>
        <w:p w14:paraId="3D4338E6"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3dy6vkm">
            <w:r>
              <w:rPr>
                <w:rFonts w:ascii="Arial" w:eastAsia="Arial" w:hAnsi="Arial" w:cs="Arial"/>
                <w:sz w:val="24"/>
                <w:szCs w:val="24"/>
              </w:rPr>
              <w:t>2.1 A ATRIBUIÇÃO DO ENFERMEIRO, E SUA NOTORIEDADE AO ACOLHIMENTO COM CLASSIFICAÇÃO DE RISCO EM UNIDADES DE PRONTO ATENDIMENTO</w:t>
            </w:r>
            <w:r>
              <w:rPr>
                <w:rFonts w:ascii="Arial" w:eastAsia="Arial" w:hAnsi="Arial" w:cs="Arial"/>
                <w:sz w:val="24"/>
                <w:szCs w:val="24"/>
              </w:rPr>
              <w:tab/>
              <w:t>16</w:t>
            </w:r>
          </w:hyperlink>
        </w:p>
        <w:p w14:paraId="56EAAD97"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1t3h5sf">
            <w:r>
              <w:rPr>
                <w:rFonts w:ascii="Arial" w:eastAsia="Arial" w:hAnsi="Arial" w:cs="Arial"/>
                <w:sz w:val="24"/>
                <w:szCs w:val="24"/>
              </w:rPr>
              <w:t>2.2 O ACESSO ÀS UNIDADES DE URGÊNCIA E EMERGÊNCIA</w:t>
            </w:r>
            <w:r>
              <w:rPr>
                <w:rFonts w:ascii="Arial" w:eastAsia="Arial" w:hAnsi="Arial" w:cs="Arial"/>
                <w:sz w:val="24"/>
                <w:szCs w:val="24"/>
              </w:rPr>
              <w:tab/>
              <w:t>18</w:t>
            </w:r>
          </w:hyperlink>
        </w:p>
        <w:p w14:paraId="04125220"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4d34og8">
            <w:r>
              <w:rPr>
                <w:rFonts w:ascii="Arial" w:eastAsia="Arial" w:hAnsi="Arial" w:cs="Arial"/>
                <w:sz w:val="24"/>
                <w:szCs w:val="24"/>
              </w:rPr>
              <w:t>2.3 CONCEITO DE TRIAGEM OU CLASSIFICAÇÃO DE RISCO</w:t>
            </w:r>
            <w:r>
              <w:rPr>
                <w:rFonts w:ascii="Arial" w:eastAsia="Arial" w:hAnsi="Arial" w:cs="Arial"/>
                <w:sz w:val="24"/>
                <w:szCs w:val="24"/>
              </w:rPr>
              <w:tab/>
              <w:t>19</w:t>
            </w:r>
          </w:hyperlink>
        </w:p>
        <w:p w14:paraId="4DE5480D"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2s8eyo1">
            <w:r>
              <w:rPr>
                <w:rFonts w:ascii="Arial" w:eastAsia="Arial" w:hAnsi="Arial" w:cs="Arial"/>
                <w:sz w:val="24"/>
                <w:szCs w:val="24"/>
              </w:rPr>
              <w:t>2.4 FATORES QUE EVIDENCIAM O DÉFICIT AO ATENDIMENTO SEGUINDO    DA DEMANDA DA CLASSIFICAÇÃO.</w:t>
            </w:r>
            <w:r>
              <w:rPr>
                <w:rFonts w:ascii="Arial" w:eastAsia="Arial" w:hAnsi="Arial" w:cs="Arial"/>
                <w:sz w:val="24"/>
                <w:szCs w:val="24"/>
              </w:rPr>
              <w:tab/>
              <w:t>20</w:t>
            </w:r>
          </w:hyperlink>
        </w:p>
        <w:p w14:paraId="7009FDED"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17dp8vu">
            <w:r>
              <w:rPr>
                <w:rFonts w:ascii="Arial" w:eastAsia="Arial" w:hAnsi="Arial" w:cs="Arial"/>
                <w:sz w:val="24"/>
                <w:szCs w:val="24"/>
              </w:rPr>
              <w:t>2.5 ESCALAS EXISTENTES, E A ATUAL UTILIZADA NO BRASIL</w:t>
            </w:r>
            <w:r>
              <w:rPr>
                <w:rFonts w:ascii="Arial" w:eastAsia="Arial" w:hAnsi="Arial" w:cs="Arial"/>
                <w:sz w:val="24"/>
                <w:szCs w:val="24"/>
              </w:rPr>
              <w:tab/>
              <w:t>22</w:t>
            </w:r>
          </w:hyperlink>
        </w:p>
        <w:p w14:paraId="4A5F59D1"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3rdcrjn">
            <w:r>
              <w:rPr>
                <w:rFonts w:ascii="Arial" w:eastAsia="Arial" w:hAnsi="Arial" w:cs="Arial"/>
                <w:sz w:val="24"/>
                <w:szCs w:val="24"/>
              </w:rPr>
              <w:t>2.6 ESCUTA QUALIFICADA PELO ENFERMEIRO FRENTE AO ATENDIMENTO IMEDIATO</w:t>
            </w:r>
            <w:r>
              <w:rPr>
                <w:rFonts w:ascii="Arial" w:eastAsia="Arial" w:hAnsi="Arial" w:cs="Arial"/>
                <w:sz w:val="24"/>
                <w:szCs w:val="24"/>
              </w:rPr>
              <w:tab/>
              <w:t>24</w:t>
            </w:r>
          </w:hyperlink>
        </w:p>
        <w:p w14:paraId="47059658"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26in1rg">
            <w:r>
              <w:rPr>
                <w:rFonts w:ascii="Arial" w:eastAsia="Arial" w:hAnsi="Arial" w:cs="Arial"/>
                <w:sz w:val="24"/>
                <w:szCs w:val="24"/>
              </w:rPr>
              <w:t>2.7 DESAFIOS ENCONTRADOS PELO PROFISSIONAL DA SAÚDE FRENTE AO PROTOCOLO</w:t>
            </w:r>
            <w:r>
              <w:rPr>
                <w:rFonts w:ascii="Arial" w:eastAsia="Arial" w:hAnsi="Arial" w:cs="Arial"/>
                <w:sz w:val="24"/>
                <w:szCs w:val="24"/>
              </w:rPr>
              <w:tab/>
              <w:t>25</w:t>
            </w:r>
          </w:hyperlink>
        </w:p>
        <w:p w14:paraId="3C658BA1"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lnxbz9">
            <w:r>
              <w:rPr>
                <w:rFonts w:ascii="Arial" w:eastAsia="Arial" w:hAnsi="Arial" w:cs="Arial"/>
                <w:sz w:val="24"/>
                <w:szCs w:val="24"/>
              </w:rPr>
              <w:t>2.8 EXPOSIÇÃO DO TEMA</w:t>
            </w:r>
            <w:r>
              <w:rPr>
                <w:rFonts w:ascii="Arial" w:eastAsia="Arial" w:hAnsi="Arial" w:cs="Arial"/>
                <w:sz w:val="24"/>
                <w:szCs w:val="24"/>
              </w:rPr>
              <w:tab/>
              <w:t>26</w:t>
            </w:r>
          </w:hyperlink>
        </w:p>
        <w:p w14:paraId="1EAA7B47"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2jxsxqh">
            <w:r>
              <w:rPr>
                <w:rFonts w:ascii="Arial" w:eastAsia="Arial" w:hAnsi="Arial" w:cs="Arial"/>
                <w:b/>
                <w:sz w:val="24"/>
                <w:szCs w:val="24"/>
              </w:rPr>
              <w:t>3 METODOLOGIA</w:t>
            </w:r>
            <w:r>
              <w:rPr>
                <w:rFonts w:ascii="Arial" w:eastAsia="Arial" w:hAnsi="Arial" w:cs="Arial"/>
                <w:b/>
                <w:sz w:val="24"/>
                <w:szCs w:val="24"/>
              </w:rPr>
              <w:tab/>
              <w:t>31</w:t>
            </w:r>
          </w:hyperlink>
        </w:p>
        <w:p w14:paraId="0D4819D4"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z337ya">
            <w:r>
              <w:rPr>
                <w:rFonts w:ascii="Arial" w:eastAsia="Arial" w:hAnsi="Arial" w:cs="Arial"/>
                <w:sz w:val="24"/>
                <w:szCs w:val="24"/>
              </w:rPr>
              <w:t>3.1 MATERIAIS E MÉTODOS</w:t>
            </w:r>
            <w:r>
              <w:rPr>
                <w:rFonts w:ascii="Arial" w:eastAsia="Arial" w:hAnsi="Arial" w:cs="Arial"/>
                <w:sz w:val="24"/>
                <w:szCs w:val="24"/>
              </w:rPr>
              <w:tab/>
              <w:t>31</w:t>
            </w:r>
          </w:hyperlink>
        </w:p>
        <w:p w14:paraId="221394FD"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3j2qqm3">
            <w:r>
              <w:rPr>
                <w:rFonts w:ascii="Arial" w:eastAsia="Arial" w:hAnsi="Arial" w:cs="Arial"/>
                <w:b/>
                <w:sz w:val="24"/>
                <w:szCs w:val="24"/>
              </w:rPr>
              <w:t>4 RESULTADOS E DISCUSSÃO</w:t>
            </w:r>
            <w:r>
              <w:rPr>
                <w:rFonts w:ascii="Arial" w:eastAsia="Arial" w:hAnsi="Arial" w:cs="Arial"/>
                <w:b/>
                <w:sz w:val="24"/>
                <w:szCs w:val="24"/>
              </w:rPr>
              <w:tab/>
              <w:t>32</w:t>
            </w:r>
          </w:hyperlink>
        </w:p>
        <w:p w14:paraId="64475F83"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1y810tw">
            <w:r>
              <w:rPr>
                <w:rFonts w:ascii="Arial" w:eastAsia="Arial" w:hAnsi="Arial" w:cs="Arial"/>
                <w:sz w:val="24"/>
                <w:szCs w:val="24"/>
              </w:rPr>
              <w:t>4.1 CARACTERIZAÇÃO DOS DADOS</w:t>
            </w:r>
            <w:r>
              <w:rPr>
                <w:rFonts w:ascii="Arial" w:eastAsia="Arial" w:hAnsi="Arial" w:cs="Arial"/>
                <w:sz w:val="24"/>
                <w:szCs w:val="24"/>
              </w:rPr>
              <w:tab/>
              <w:t>32</w:t>
            </w:r>
          </w:hyperlink>
        </w:p>
        <w:p w14:paraId="212807DF"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1ci93xb">
            <w:r>
              <w:rPr>
                <w:rFonts w:ascii="Arial" w:eastAsia="Arial" w:hAnsi="Arial" w:cs="Arial"/>
                <w:sz w:val="24"/>
                <w:szCs w:val="24"/>
              </w:rPr>
              <w:t>4.2 A ATUAÇÃO DO ENFERMEIRO FRENTE À CLASSIFICAÇÃO DE RISCO</w:t>
            </w:r>
            <w:r>
              <w:rPr>
                <w:rFonts w:ascii="Arial" w:eastAsia="Arial" w:hAnsi="Arial" w:cs="Arial"/>
                <w:sz w:val="24"/>
                <w:szCs w:val="24"/>
              </w:rPr>
              <w:tab/>
              <w:t>39</w:t>
            </w:r>
          </w:hyperlink>
        </w:p>
        <w:p w14:paraId="17C2C357"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3whwml4">
            <w:r>
              <w:rPr>
                <w:rFonts w:ascii="Arial" w:eastAsia="Arial" w:hAnsi="Arial" w:cs="Arial"/>
                <w:sz w:val="24"/>
                <w:szCs w:val="24"/>
              </w:rPr>
              <w:t>4.3 DIFICULDADES VIVENCIADAS PELO ENFERMEIRO</w:t>
            </w:r>
            <w:r>
              <w:rPr>
                <w:rFonts w:ascii="Arial" w:eastAsia="Arial" w:hAnsi="Arial" w:cs="Arial"/>
                <w:sz w:val="24"/>
                <w:szCs w:val="24"/>
              </w:rPr>
              <w:tab/>
              <w:t>40</w:t>
            </w:r>
          </w:hyperlink>
        </w:p>
        <w:p w14:paraId="25CCA577"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2bn6wsx">
            <w:r>
              <w:rPr>
                <w:rFonts w:ascii="Arial" w:eastAsia="Arial" w:hAnsi="Arial" w:cs="Arial"/>
                <w:sz w:val="24"/>
                <w:szCs w:val="24"/>
              </w:rPr>
              <w:t>4.4 O SENTIMENTO DOS ENFERMEIROS FRENTE A CLASSIFICAÇÃO DE RISCO</w:t>
            </w:r>
            <w:r>
              <w:rPr>
                <w:rFonts w:ascii="Arial" w:eastAsia="Arial" w:hAnsi="Arial" w:cs="Arial"/>
                <w:sz w:val="24"/>
                <w:szCs w:val="24"/>
              </w:rPr>
              <w:tab/>
              <w:t>42</w:t>
            </w:r>
          </w:hyperlink>
        </w:p>
        <w:p w14:paraId="36F49D4C"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qsh70q">
            <w:r>
              <w:rPr>
                <w:rFonts w:ascii="Arial" w:eastAsia="Arial" w:hAnsi="Arial" w:cs="Arial"/>
                <w:b/>
                <w:sz w:val="24"/>
                <w:szCs w:val="24"/>
              </w:rPr>
              <w:t>5 CONSIDERAÇÕES FINAIS</w:t>
            </w:r>
            <w:r>
              <w:rPr>
                <w:rFonts w:ascii="Arial" w:eastAsia="Arial" w:hAnsi="Arial" w:cs="Arial"/>
                <w:b/>
                <w:sz w:val="24"/>
                <w:szCs w:val="24"/>
              </w:rPr>
              <w:tab/>
              <w:t>44</w:t>
            </w:r>
          </w:hyperlink>
        </w:p>
        <w:p w14:paraId="614348FF" w14:textId="77777777" w:rsidR="00787BF7" w:rsidRDefault="00000000">
          <w:pPr>
            <w:pBdr>
              <w:top w:val="nil"/>
              <w:left w:val="nil"/>
              <w:bottom w:val="nil"/>
              <w:right w:val="nil"/>
              <w:between w:val="nil"/>
            </w:pBdr>
            <w:tabs>
              <w:tab w:val="right" w:pos="9062"/>
            </w:tabs>
            <w:spacing w:after="0" w:line="360" w:lineRule="auto"/>
            <w:ind w:left="426" w:hanging="426"/>
          </w:pPr>
          <w:hyperlink w:anchor="_heading=h.3as4poj">
            <w:r>
              <w:rPr>
                <w:rFonts w:ascii="Arial" w:eastAsia="Arial" w:hAnsi="Arial" w:cs="Arial"/>
                <w:b/>
                <w:sz w:val="24"/>
                <w:szCs w:val="24"/>
              </w:rPr>
              <w:t>REFERÊNCIAS</w:t>
            </w:r>
            <w:r>
              <w:rPr>
                <w:rFonts w:ascii="Arial" w:eastAsia="Arial" w:hAnsi="Arial" w:cs="Arial"/>
                <w:b/>
                <w:sz w:val="24"/>
                <w:szCs w:val="24"/>
              </w:rPr>
              <w:tab/>
              <w:t>45</w:t>
            </w:r>
          </w:hyperlink>
        </w:p>
        <w:p w14:paraId="6D54370D" w14:textId="77777777" w:rsidR="00787BF7" w:rsidRDefault="00000000">
          <w:pPr>
            <w:pBdr>
              <w:top w:val="nil"/>
              <w:left w:val="nil"/>
              <w:bottom w:val="nil"/>
              <w:right w:val="nil"/>
              <w:between w:val="nil"/>
            </w:pBdr>
            <w:spacing w:after="0" w:line="360" w:lineRule="auto"/>
            <w:ind w:left="426" w:hanging="426"/>
            <w:jc w:val="both"/>
            <w:rPr>
              <w:rFonts w:ascii="Arial" w:eastAsia="Arial" w:hAnsi="Arial" w:cs="Arial"/>
              <w:sz w:val="24"/>
              <w:szCs w:val="24"/>
            </w:rPr>
          </w:pPr>
          <w:r>
            <w:fldChar w:fldCharType="end"/>
          </w:r>
        </w:p>
      </w:sdtContent>
    </w:sdt>
    <w:p w14:paraId="52D0D47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0731AD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sectPr w:rsidR="00787BF7">
          <w:headerReference w:type="even" r:id="rId8"/>
          <w:headerReference w:type="first" r:id="rId9"/>
          <w:pgSz w:w="11907" w:h="16840"/>
          <w:pgMar w:top="1701" w:right="1134" w:bottom="1134" w:left="1701" w:header="851" w:footer="851" w:gutter="0"/>
          <w:pgNumType w:start="0"/>
          <w:cols w:space="720"/>
        </w:sectPr>
      </w:pPr>
    </w:p>
    <w:p w14:paraId="4AD89200" w14:textId="77777777" w:rsidR="00787BF7" w:rsidRDefault="00000000">
      <w:pPr>
        <w:pStyle w:val="Ttulo1"/>
      </w:pPr>
      <w:bookmarkStart w:id="0" w:name="_heading=h.gjdgxs" w:colFirst="0" w:colLast="0"/>
      <w:bookmarkEnd w:id="0"/>
      <w:r>
        <w:t>1 INTRODUÇÃO</w:t>
      </w:r>
    </w:p>
    <w:p w14:paraId="7165EE2D" w14:textId="77777777" w:rsidR="00787BF7" w:rsidRDefault="00787BF7">
      <w:pPr>
        <w:pStyle w:val="Ttulo2"/>
        <w:ind w:left="0" w:firstLine="0"/>
      </w:pPr>
      <w:bookmarkStart w:id="1" w:name="_heading=h.30j0zll" w:colFirst="0" w:colLast="0"/>
      <w:bookmarkEnd w:id="1"/>
    </w:p>
    <w:p w14:paraId="6E6F2EE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A684098"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O protocolo é uma metodologia que confere classificação de risco para pacientes que procuram atendimento na rede de urgência e emergência. É estruturado por fluxogramas que representam os sinais e sintomas relacionados à queixa principal apresentada pelo paciente, que é classificado em diferentes níveis de prioridade com tempo alvo de atendimento médico estabelecido e a reavaliação pelo profissional que realizou a classificação, pois o quadro clínico pode obter melhora ou agravo (DINIZ </w:t>
      </w:r>
      <w:r>
        <w:rPr>
          <w:rFonts w:ascii="Arial" w:eastAsia="Arial" w:hAnsi="Arial" w:cs="Arial"/>
          <w:i/>
          <w:sz w:val="24"/>
          <w:szCs w:val="24"/>
        </w:rPr>
        <w:t>et al.</w:t>
      </w:r>
      <w:r>
        <w:rPr>
          <w:rFonts w:ascii="Arial" w:eastAsia="Arial" w:hAnsi="Arial" w:cs="Arial"/>
          <w:sz w:val="24"/>
          <w:szCs w:val="24"/>
        </w:rPr>
        <w:t>, 2014).</w:t>
      </w:r>
    </w:p>
    <w:p w14:paraId="4C82E2DB"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No Brasil, utilizam-se atualmente nos serviços de urgência e emergência, os protocolos de Manchester e o acolhimento com a Classificação de risco adotado em 2004 pelo Ministério da saúde brasileiro, previsto na portaria 2048/2002 MS que institui a Política Nacional de Urgências e Emergências (SANTOS, 2014).</w:t>
      </w:r>
    </w:p>
    <w:p w14:paraId="5445CB04"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A atenção global às emergências e emergências é dominada por serviços hospitalares e de pronto-socorro 24 horas por dia, 7 dias por semana, que exigem a organização e gestão dos fluxos de trabalho de saúde (DURO; LIMA, 2010).</w:t>
      </w:r>
    </w:p>
    <w:p w14:paraId="148A4208"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Os serviços de emergência são de caráter temporário e limitados à estabilização do quadro clínico do paciente (DURO; LIMA, 2010). </w:t>
      </w:r>
    </w:p>
    <w:p w14:paraId="1713DDC3"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As rotinas dessas unidades visam favorecer pacientes com risco iminente de morte, a fim de reduzir a morbimortalidade e sequelas incapacitantes (SOUSA </w:t>
      </w:r>
      <w:r>
        <w:rPr>
          <w:rFonts w:ascii="Arial" w:eastAsia="Arial" w:hAnsi="Arial" w:cs="Arial"/>
          <w:i/>
          <w:sz w:val="24"/>
          <w:szCs w:val="24"/>
        </w:rPr>
        <w:t>et al.</w:t>
      </w:r>
      <w:r>
        <w:rPr>
          <w:rFonts w:ascii="Arial" w:eastAsia="Arial" w:hAnsi="Arial" w:cs="Arial"/>
          <w:sz w:val="24"/>
          <w:szCs w:val="24"/>
        </w:rPr>
        <w:t>, 2019).</w:t>
      </w:r>
    </w:p>
    <w:p w14:paraId="702F45CC"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Nos últimos 20 anos houve importante crescimento da demanda por atendimento neste serviço, gerando superlotação e filas de espera que foram agravados por problemas de origem organizacional, e a avaliação primária sem critério clínico pode gerar complicações desnecessárias no quadro do paciente e até mesmo mortes evitáveis (CAVALCANTE </w:t>
      </w:r>
      <w:r>
        <w:rPr>
          <w:rFonts w:ascii="Arial" w:eastAsia="Arial" w:hAnsi="Arial" w:cs="Arial"/>
          <w:i/>
          <w:sz w:val="24"/>
          <w:szCs w:val="24"/>
        </w:rPr>
        <w:t>et al.</w:t>
      </w:r>
      <w:r>
        <w:rPr>
          <w:rFonts w:ascii="Arial" w:eastAsia="Arial" w:hAnsi="Arial" w:cs="Arial"/>
          <w:sz w:val="24"/>
          <w:szCs w:val="24"/>
        </w:rPr>
        <w:t>, 2012).</w:t>
      </w:r>
    </w:p>
    <w:p w14:paraId="609599A5" w14:textId="77777777" w:rsidR="00787BF7" w:rsidRDefault="00000000">
      <w:pPr>
        <w:pBdr>
          <w:top w:val="nil"/>
          <w:left w:val="nil"/>
          <w:bottom w:val="nil"/>
          <w:right w:val="nil"/>
          <w:between w:val="nil"/>
        </w:pBdr>
        <w:spacing w:after="0" w:line="360" w:lineRule="auto"/>
        <w:ind w:firstLine="708"/>
        <w:jc w:val="both"/>
        <w:rPr>
          <w:rFonts w:ascii="Arial" w:eastAsia="Arial" w:hAnsi="Arial" w:cs="Arial"/>
          <w:sz w:val="24"/>
          <w:szCs w:val="24"/>
        </w:rPr>
      </w:pPr>
      <w:r>
        <w:rPr>
          <w:rFonts w:ascii="Arial" w:eastAsia="Arial" w:hAnsi="Arial" w:cs="Arial"/>
          <w:sz w:val="24"/>
          <w:szCs w:val="24"/>
        </w:rPr>
        <w:t>Na busca de uma solução para esta problemática, os serviços de saúde de alguns países, como por exemplo, o Canadá, Austrália, Suécia, Reino Unido, EUA e mais recentemente o Brasil, buscam normalizar sistemas de classificação de risco nos departamentos de emergência, para fins de se obter uma gestão eficaz e equidade dos serviços, garantido o fluxo do paciente no sistema de saúde (DURO; LIMA, 2010).</w:t>
      </w:r>
    </w:p>
    <w:p w14:paraId="66343691"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Dentre os sistemas de classificação de risco mais utilizados e conhecidos mundialmente, destacam-se o </w:t>
      </w:r>
      <w:r>
        <w:rPr>
          <w:rFonts w:ascii="Arial" w:eastAsia="Arial" w:hAnsi="Arial" w:cs="Arial"/>
          <w:i/>
          <w:sz w:val="24"/>
          <w:szCs w:val="24"/>
        </w:rPr>
        <w:t xml:space="preserve">The Canadian Emergency Triage </w:t>
      </w:r>
      <w:r>
        <w:rPr>
          <w:rFonts w:ascii="Arial" w:eastAsia="Arial" w:hAnsi="Arial" w:cs="Arial"/>
          <w:sz w:val="24"/>
          <w:szCs w:val="24"/>
        </w:rPr>
        <w:t xml:space="preserve">(CTAS), o </w:t>
      </w:r>
      <w:r>
        <w:rPr>
          <w:rFonts w:ascii="Arial" w:eastAsia="Arial" w:hAnsi="Arial" w:cs="Arial"/>
          <w:i/>
          <w:sz w:val="24"/>
          <w:szCs w:val="24"/>
        </w:rPr>
        <w:t xml:space="preserve">National, Triage Scale for Australasian Emergency </w:t>
      </w:r>
      <w:r>
        <w:rPr>
          <w:rFonts w:ascii="Arial" w:eastAsia="Arial" w:hAnsi="Arial" w:cs="Arial"/>
          <w:sz w:val="24"/>
          <w:szCs w:val="24"/>
        </w:rPr>
        <w:t xml:space="preserve">Departaments (NTS), o </w:t>
      </w:r>
      <w:r>
        <w:rPr>
          <w:rFonts w:ascii="Arial" w:eastAsia="Arial" w:hAnsi="Arial" w:cs="Arial"/>
          <w:i/>
          <w:sz w:val="24"/>
          <w:szCs w:val="24"/>
        </w:rPr>
        <w:t xml:space="preserve">Manchester Triage System </w:t>
      </w:r>
      <w:r>
        <w:rPr>
          <w:rFonts w:ascii="Arial" w:eastAsia="Arial" w:hAnsi="Arial" w:cs="Arial"/>
          <w:sz w:val="24"/>
          <w:szCs w:val="24"/>
        </w:rPr>
        <w:t xml:space="preserve">(MTS), o </w:t>
      </w:r>
      <w:r>
        <w:rPr>
          <w:rFonts w:ascii="Arial" w:eastAsia="Arial" w:hAnsi="Arial" w:cs="Arial"/>
          <w:i/>
          <w:sz w:val="24"/>
          <w:szCs w:val="24"/>
        </w:rPr>
        <w:t xml:space="preserve">Emergency Severity Index </w:t>
      </w:r>
      <w:r>
        <w:rPr>
          <w:rFonts w:ascii="Arial" w:eastAsia="Arial" w:hAnsi="Arial" w:cs="Arial"/>
          <w:sz w:val="24"/>
          <w:szCs w:val="24"/>
        </w:rPr>
        <w:t xml:space="preserve">(ESI), e o </w:t>
      </w:r>
      <w:r>
        <w:rPr>
          <w:rFonts w:ascii="Arial" w:eastAsia="Arial" w:hAnsi="Arial" w:cs="Arial"/>
          <w:i/>
          <w:sz w:val="24"/>
          <w:szCs w:val="24"/>
        </w:rPr>
        <w:t xml:space="preserve">Model Andorrà de Triatge </w:t>
      </w:r>
      <w:r>
        <w:rPr>
          <w:rFonts w:ascii="Arial" w:eastAsia="Arial" w:hAnsi="Arial" w:cs="Arial"/>
          <w:sz w:val="24"/>
          <w:szCs w:val="24"/>
        </w:rPr>
        <w:t>(MAT) (SANTOS, 2014).</w:t>
      </w:r>
    </w:p>
    <w:p w14:paraId="7C1E3A87"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Segundo Duro, Lima (2010) e Sousa </w:t>
      </w:r>
      <w:r>
        <w:rPr>
          <w:rFonts w:ascii="Arial" w:eastAsia="Arial" w:hAnsi="Arial" w:cs="Arial"/>
          <w:i/>
          <w:sz w:val="24"/>
          <w:szCs w:val="24"/>
        </w:rPr>
        <w:t>et al.</w:t>
      </w:r>
      <w:r>
        <w:rPr>
          <w:rFonts w:ascii="Arial" w:eastAsia="Arial" w:hAnsi="Arial" w:cs="Arial"/>
          <w:sz w:val="24"/>
          <w:szCs w:val="24"/>
        </w:rPr>
        <w:t xml:space="preserve"> (2019), os protocolos de classificação objetivam garantir humanização da assistência possibilitando que diferentes avaliadores façam uma investigação clínica, seguindo os mesmos parâmetros para estabelecer a gravidade dos pacientes.</w:t>
      </w:r>
    </w:p>
    <w:p w14:paraId="2EB855CA"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 objetivo do estudo surgiu a partir da vivência profissional em atendimento de emergências onde as autoras atuavam na função de técnico de enfermagem. Nessa experiência vivenciada, notou-se a realidade do processo da classificação de risco na prática de atendimento em emergência. Surgindo assim a inquietação e o interesse em fazer um estudo mais aprofundado sobre a utilização de protocolos em classificação de risco em emergências.</w:t>
      </w:r>
    </w:p>
    <w:p w14:paraId="70BFECE3"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Para o desenvolvimento desta pesquisa serão usados artigos publicados nos anos de 2011 a 2021 . Este recorte será feito com base nas publicações dos artigos que relatam a demanda e as dificuldades das ações realizadas nos atendimentos.</w:t>
      </w:r>
    </w:p>
    <w:p w14:paraId="0DEFBDC0"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Segundo o Ministério da Saúde (2006) descreve que os serviços de urgência e emergência são caracterizados pelo atendimento a pacientes em situações agudas que se encontram em risco de morte ou sofrimento intenso, porém a maioria dos usuários que procuram estes serviços, poderiam ter seus problemas resolvidos na atenção básica de saúde.</w:t>
      </w:r>
    </w:p>
    <w:p w14:paraId="414F16D6"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color w:val="111111"/>
          <w:sz w:val="24"/>
          <w:szCs w:val="24"/>
        </w:rPr>
      </w:pPr>
      <w:r>
        <w:rPr>
          <w:rFonts w:ascii="Arial" w:eastAsia="Arial" w:hAnsi="Arial" w:cs="Arial"/>
          <w:sz w:val="24"/>
          <w:szCs w:val="24"/>
        </w:rPr>
        <w:t xml:space="preserve">Para fundamentar o estudo observa-se a Portaria nº 1.601, de 07 de julho de 2011. </w:t>
      </w:r>
      <w:r>
        <w:rPr>
          <w:rFonts w:ascii="Arial" w:eastAsia="Arial" w:hAnsi="Arial" w:cs="Arial"/>
          <w:color w:val="111111"/>
          <w:sz w:val="24"/>
          <w:szCs w:val="24"/>
        </w:rPr>
        <w:t>Ministério da Saúde no artigo 2:</w:t>
      </w:r>
    </w:p>
    <w:p w14:paraId="122BF06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AB25F08" w14:textId="77777777" w:rsidR="00787BF7" w:rsidRDefault="00000000">
      <w:pPr>
        <w:pBdr>
          <w:top w:val="nil"/>
          <w:left w:val="nil"/>
          <w:bottom w:val="nil"/>
          <w:right w:val="nil"/>
          <w:between w:val="nil"/>
        </w:pBdr>
        <w:spacing w:after="0" w:line="240" w:lineRule="auto"/>
        <w:ind w:left="2268"/>
        <w:jc w:val="both"/>
        <w:rPr>
          <w:rFonts w:ascii="Arial" w:eastAsia="Arial" w:hAnsi="Arial" w:cs="Arial"/>
          <w:sz w:val="20"/>
          <w:szCs w:val="20"/>
        </w:rPr>
      </w:pPr>
      <w:r>
        <w:rPr>
          <w:rFonts w:ascii="Arial" w:eastAsia="Arial" w:hAnsi="Arial" w:cs="Arial"/>
          <w:sz w:val="20"/>
          <w:szCs w:val="20"/>
        </w:rPr>
        <w:t>§ 3º, é necessário implantar um processo de Acolhimento com Classificação de Risco, visando uma identificação mais efetiva para os pacientes que necessitam de atendimento imediato, a fim de ter um tempo resposta mais ágil, visando interromper processos que geram riscos a vida e minimizar as sequelas associadas ao problema inicial.</w:t>
      </w:r>
    </w:p>
    <w:p w14:paraId="67F497E9" w14:textId="77777777" w:rsidR="00787BF7" w:rsidRDefault="00000000">
      <w:pPr>
        <w:pBdr>
          <w:top w:val="nil"/>
          <w:left w:val="nil"/>
          <w:bottom w:val="nil"/>
          <w:right w:val="nil"/>
          <w:between w:val="nil"/>
        </w:pBdr>
        <w:spacing w:after="0" w:line="240" w:lineRule="auto"/>
        <w:ind w:left="2268"/>
        <w:jc w:val="both"/>
        <w:rPr>
          <w:rFonts w:ascii="Arial" w:eastAsia="Arial" w:hAnsi="Arial" w:cs="Arial"/>
          <w:sz w:val="20"/>
          <w:szCs w:val="20"/>
        </w:rPr>
      </w:pPr>
      <w:r>
        <w:rPr>
          <w:rFonts w:ascii="Arial" w:eastAsia="Arial" w:hAnsi="Arial" w:cs="Arial"/>
          <w:sz w:val="20"/>
          <w:szCs w:val="20"/>
        </w:rPr>
        <w:t>§4º nos traz que devemos manter as técnicas e protocolos sempre atualizados, pois são processos que estão em constante mudança, e os profissionais enfermeiros devem sempre manter e promover o conhecimento atualizado acerca de assuntos relacionados ao cuidado.</w:t>
      </w:r>
    </w:p>
    <w:p w14:paraId="2D74B5F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17582EB"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A Enfermagem tem como premissa prestar assistência de forma integral visando a humanização da assistência de urgência e emergência, por isso é utilizado em todo o mundo mecanismos para melhor atender, e que os usuários sejam atendidos de forma rápida e segura de acordo com a patologia ao buscar atendimento nas unidades de pronto atendimento. Esses mecanismos são as escalas de classificação/acolhimento com classificação de risco (SOUSA </w:t>
      </w:r>
      <w:r>
        <w:rPr>
          <w:rFonts w:ascii="Arial" w:eastAsia="Arial" w:hAnsi="Arial" w:cs="Arial"/>
          <w:i/>
          <w:sz w:val="24"/>
          <w:szCs w:val="24"/>
        </w:rPr>
        <w:t>et al.</w:t>
      </w:r>
      <w:r>
        <w:rPr>
          <w:rFonts w:ascii="Arial" w:eastAsia="Arial" w:hAnsi="Arial" w:cs="Arial"/>
          <w:sz w:val="24"/>
          <w:szCs w:val="24"/>
        </w:rPr>
        <w:t>, 2019)</w:t>
      </w:r>
    </w:p>
    <w:p w14:paraId="442C686F"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Sendo assim, cabe aos profissionais de saúde qualificados reunir as condições necessárias, as quais incluem linguagem clínica orientada para os sinais e sintomas, para a realização das escalas de avaliação e classificação de risco do usuário de acordo com o grau de urgência de seu agravo, e com base em um sistema predefinido: emergência, urgência, média complexidade e baixa complexidade. Sendo assim, pode-se oferecer ao cliente um melhor atendimento, orientação quanto a classificação e seu tempo de espera (FEIJÓ </w:t>
      </w:r>
      <w:r>
        <w:rPr>
          <w:rFonts w:ascii="Arial" w:eastAsia="Arial" w:hAnsi="Arial" w:cs="Arial"/>
          <w:i/>
          <w:sz w:val="24"/>
          <w:szCs w:val="24"/>
        </w:rPr>
        <w:t>et al.</w:t>
      </w:r>
      <w:r>
        <w:rPr>
          <w:rFonts w:ascii="Arial" w:eastAsia="Arial" w:hAnsi="Arial" w:cs="Arial"/>
          <w:sz w:val="24"/>
          <w:szCs w:val="24"/>
        </w:rPr>
        <w:t>, 2015).</w:t>
      </w:r>
    </w:p>
    <w:p w14:paraId="76AF35ED"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Portanto, como acadêmicas de enfermagem</w:t>
      </w:r>
      <w:r>
        <w:rPr>
          <w:rFonts w:ascii="Arial" w:eastAsia="Arial" w:hAnsi="Arial" w:cs="Arial"/>
          <w:color w:val="FF0000"/>
          <w:sz w:val="24"/>
          <w:szCs w:val="24"/>
        </w:rPr>
        <w:t xml:space="preserve"> </w:t>
      </w:r>
      <w:r>
        <w:rPr>
          <w:rFonts w:ascii="Arial" w:eastAsia="Arial" w:hAnsi="Arial" w:cs="Arial"/>
          <w:sz w:val="24"/>
          <w:szCs w:val="24"/>
        </w:rPr>
        <w:t>adquirimos com esta pesquisa, conhecimento, compreendemos o funcionamento e importância do protocolo, seu contexto histórico e protagonismo do enfermeiro, o qual agregou para melhorar nosso desempenho na atuação profissional.</w:t>
      </w:r>
    </w:p>
    <w:p w14:paraId="3AB4A981"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color w:val="111111"/>
          <w:sz w:val="24"/>
          <w:szCs w:val="24"/>
        </w:rPr>
      </w:pPr>
      <w:r>
        <w:rPr>
          <w:rFonts w:ascii="Arial" w:eastAsia="Arial" w:hAnsi="Arial" w:cs="Arial"/>
          <w:color w:val="111111"/>
          <w:sz w:val="24"/>
          <w:szCs w:val="24"/>
        </w:rPr>
        <w:t xml:space="preserve">Segundo o Ministério da Saúde: </w:t>
      </w:r>
    </w:p>
    <w:p w14:paraId="3FD77CA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8D4D9E5" w14:textId="77777777" w:rsidR="00787BF7" w:rsidRDefault="00000000">
      <w:pPr>
        <w:pBdr>
          <w:top w:val="nil"/>
          <w:left w:val="nil"/>
          <w:bottom w:val="nil"/>
          <w:right w:val="nil"/>
          <w:between w:val="nil"/>
        </w:pBdr>
        <w:spacing w:after="0" w:line="240" w:lineRule="auto"/>
        <w:ind w:left="2268"/>
        <w:jc w:val="both"/>
        <w:rPr>
          <w:rFonts w:ascii="Arial" w:eastAsia="Arial" w:hAnsi="Arial" w:cs="Arial"/>
          <w:sz w:val="20"/>
          <w:szCs w:val="20"/>
        </w:rPr>
      </w:pPr>
      <w:r>
        <w:rPr>
          <w:rFonts w:ascii="Arial" w:eastAsia="Arial" w:hAnsi="Arial" w:cs="Arial"/>
          <w:sz w:val="20"/>
          <w:szCs w:val="20"/>
        </w:rPr>
        <w:t>[...] Estabelece-se, em 2004, a Política Nacional de Humanização (HumanizaSUS), formulada pelo Ministério da Saúde, que definiu, dentre os seus critérios, a reestruturação dos serviços de urgência/emergência, com a implantação do Acolhimento com Classificação e Avaliação de Risco (ACCR) (BRASIL, 2009).</w:t>
      </w:r>
    </w:p>
    <w:p w14:paraId="28B802E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6533FAA"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Para execução dessa pesquisa, partimos dos seguintes questionamentos: Como está sendo aplicada a classificação de risco pelos enfermeiros? Qual a importância do enfermeiro na classificação de risco na emergência?</w:t>
      </w:r>
    </w:p>
    <w:p w14:paraId="32BE330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5B76376" w14:textId="77777777" w:rsidR="00787BF7" w:rsidRDefault="00000000">
      <w:pPr>
        <w:pStyle w:val="Ttulo2"/>
      </w:pPr>
      <w:bookmarkStart w:id="2" w:name="_heading=h.1fob9te" w:colFirst="0" w:colLast="0"/>
      <w:bookmarkEnd w:id="2"/>
      <w:r>
        <w:t>1.2 OBJETIVOS</w:t>
      </w:r>
    </w:p>
    <w:p w14:paraId="276F8541" w14:textId="77777777" w:rsidR="00787BF7" w:rsidRDefault="00787BF7">
      <w:pPr>
        <w:spacing w:after="0" w:line="360" w:lineRule="auto"/>
        <w:ind w:firstLine="709"/>
        <w:jc w:val="both"/>
        <w:rPr>
          <w:rFonts w:ascii="Arial" w:eastAsia="Arial" w:hAnsi="Arial" w:cs="Arial"/>
          <w:sz w:val="24"/>
          <w:szCs w:val="24"/>
        </w:rPr>
      </w:pPr>
    </w:p>
    <w:p w14:paraId="7C57CADA" w14:textId="77777777" w:rsidR="00787BF7" w:rsidRDefault="00000000">
      <w:pPr>
        <w:pStyle w:val="Ttulo3"/>
      </w:pPr>
      <w:bookmarkStart w:id="3" w:name="_heading=h.3znysh7" w:colFirst="0" w:colLast="0"/>
      <w:bookmarkEnd w:id="3"/>
      <w:r>
        <w:t>1.2.1 Objetivo Geral</w:t>
      </w:r>
    </w:p>
    <w:p w14:paraId="4F0E0EE5" w14:textId="77777777" w:rsidR="00787BF7" w:rsidRDefault="00787BF7">
      <w:pPr>
        <w:spacing w:after="0" w:line="360" w:lineRule="auto"/>
        <w:ind w:firstLine="709"/>
        <w:jc w:val="both"/>
        <w:rPr>
          <w:rFonts w:ascii="Arial" w:eastAsia="Arial" w:hAnsi="Arial" w:cs="Arial"/>
          <w:sz w:val="24"/>
          <w:szCs w:val="24"/>
        </w:rPr>
      </w:pPr>
    </w:p>
    <w:p w14:paraId="695E5136" w14:textId="77777777" w:rsidR="00787BF7" w:rsidRDefault="00000000">
      <w:pPr>
        <w:spacing w:after="0" w:line="360" w:lineRule="auto"/>
        <w:ind w:firstLine="709"/>
        <w:jc w:val="both"/>
        <w:rPr>
          <w:rFonts w:ascii="Arial" w:eastAsia="Arial" w:hAnsi="Arial" w:cs="Arial"/>
          <w:sz w:val="24"/>
          <w:szCs w:val="24"/>
        </w:rPr>
      </w:pPr>
      <w:r>
        <w:rPr>
          <w:rFonts w:ascii="Arial" w:eastAsia="Arial" w:hAnsi="Arial" w:cs="Arial"/>
          <w:sz w:val="24"/>
          <w:szCs w:val="24"/>
        </w:rPr>
        <w:t>Analisar a atuação do enfermeiro no processo de execução do acolhimento com classificação de risco mediante aos protocolos disponíveis.</w:t>
      </w:r>
    </w:p>
    <w:p w14:paraId="625E85A4"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F39DC89" w14:textId="77777777" w:rsidR="00787BF7" w:rsidRDefault="00000000">
      <w:pPr>
        <w:pStyle w:val="Ttulo3"/>
      </w:pPr>
      <w:bookmarkStart w:id="4" w:name="_heading=h.2et92p0" w:colFirst="0" w:colLast="0"/>
      <w:bookmarkEnd w:id="4"/>
      <w:r>
        <w:t>1.2.2 Objetivos Específicos</w:t>
      </w:r>
    </w:p>
    <w:p w14:paraId="49CE6C8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F2755EF"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No que tange os objetivos de caráter específicos em artigos, pode-se estabelecer os seguintes:</w:t>
      </w:r>
    </w:p>
    <w:p w14:paraId="73187D33" w14:textId="77777777" w:rsidR="00787BF7" w:rsidRDefault="00000000">
      <w:pPr>
        <w:numPr>
          <w:ilvl w:val="0"/>
          <w:numId w:val="2"/>
        </w:numPr>
        <w:pBdr>
          <w:top w:val="nil"/>
          <w:left w:val="nil"/>
          <w:bottom w:val="nil"/>
          <w:right w:val="nil"/>
          <w:between w:val="nil"/>
        </w:pBdr>
        <w:spacing w:after="0" w:line="360" w:lineRule="auto"/>
        <w:ind w:left="993" w:hanging="283"/>
        <w:jc w:val="both"/>
      </w:pPr>
      <w:r>
        <w:rPr>
          <w:rFonts w:ascii="Arial" w:eastAsia="Arial" w:hAnsi="Arial" w:cs="Arial"/>
          <w:sz w:val="24"/>
          <w:szCs w:val="24"/>
        </w:rPr>
        <w:t>A importância do enfermeiro na classificação de risco de unidade de Urgência e Emergência.</w:t>
      </w:r>
    </w:p>
    <w:p w14:paraId="0D880365" w14:textId="77777777" w:rsidR="00787BF7" w:rsidRDefault="00000000">
      <w:pPr>
        <w:numPr>
          <w:ilvl w:val="0"/>
          <w:numId w:val="2"/>
        </w:numPr>
        <w:pBdr>
          <w:top w:val="nil"/>
          <w:left w:val="nil"/>
          <w:bottom w:val="nil"/>
          <w:right w:val="nil"/>
          <w:between w:val="nil"/>
        </w:pBdr>
        <w:spacing w:after="0" w:line="360" w:lineRule="auto"/>
        <w:ind w:left="993" w:hanging="283"/>
        <w:jc w:val="both"/>
      </w:pPr>
      <w:r>
        <w:rPr>
          <w:rFonts w:ascii="Arial" w:eastAsia="Arial" w:hAnsi="Arial" w:cs="Arial"/>
          <w:sz w:val="24"/>
          <w:szCs w:val="24"/>
        </w:rPr>
        <w:t>Descrever o histórico nacional e internacional dos protocolos de classificação e onde são utilizados;</w:t>
      </w:r>
    </w:p>
    <w:p w14:paraId="35F6E287" w14:textId="77777777" w:rsidR="00787BF7" w:rsidRDefault="00000000">
      <w:pPr>
        <w:numPr>
          <w:ilvl w:val="0"/>
          <w:numId w:val="2"/>
        </w:numPr>
        <w:pBdr>
          <w:top w:val="nil"/>
          <w:left w:val="nil"/>
          <w:bottom w:val="nil"/>
          <w:right w:val="nil"/>
          <w:between w:val="nil"/>
        </w:pBdr>
        <w:spacing w:after="0" w:line="360" w:lineRule="auto"/>
        <w:ind w:left="993" w:hanging="283"/>
        <w:jc w:val="both"/>
      </w:pPr>
      <w:r>
        <w:rPr>
          <w:rFonts w:ascii="Arial" w:eastAsia="Arial" w:hAnsi="Arial" w:cs="Arial"/>
          <w:sz w:val="24"/>
          <w:szCs w:val="24"/>
        </w:rPr>
        <w:t>Descrever a função e utilização do protocolo nas unidades de urgência e emergência.</w:t>
      </w:r>
    </w:p>
    <w:p w14:paraId="5B5D2EA8" w14:textId="77777777" w:rsidR="00787BF7" w:rsidRDefault="00000000">
      <w:pPr>
        <w:numPr>
          <w:ilvl w:val="0"/>
          <w:numId w:val="2"/>
        </w:numPr>
        <w:pBdr>
          <w:top w:val="nil"/>
          <w:left w:val="nil"/>
          <w:bottom w:val="nil"/>
          <w:right w:val="nil"/>
          <w:between w:val="nil"/>
        </w:pBdr>
        <w:spacing w:after="0" w:line="360" w:lineRule="auto"/>
        <w:ind w:left="993" w:hanging="283"/>
        <w:jc w:val="both"/>
      </w:pPr>
      <w:r>
        <w:rPr>
          <w:rFonts w:ascii="Arial" w:eastAsia="Arial" w:hAnsi="Arial" w:cs="Arial"/>
          <w:sz w:val="24"/>
          <w:szCs w:val="24"/>
        </w:rPr>
        <w:t>Dificuldades no acolhimento com classificação de risco de uma unidade de Urgência e Emergência.</w:t>
      </w:r>
    </w:p>
    <w:p w14:paraId="20D3C62A" w14:textId="77777777" w:rsidR="00787BF7" w:rsidRDefault="00787BF7">
      <w:pPr>
        <w:pBdr>
          <w:top w:val="nil"/>
          <w:left w:val="nil"/>
          <w:bottom w:val="nil"/>
          <w:right w:val="nil"/>
          <w:between w:val="nil"/>
        </w:pBdr>
        <w:spacing w:after="0" w:line="360" w:lineRule="auto"/>
        <w:ind w:left="1429"/>
        <w:jc w:val="both"/>
        <w:rPr>
          <w:rFonts w:ascii="Arial" w:eastAsia="Arial" w:hAnsi="Arial" w:cs="Arial"/>
          <w:sz w:val="24"/>
          <w:szCs w:val="24"/>
        </w:rPr>
      </w:pPr>
    </w:p>
    <w:p w14:paraId="7765F8A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E00C569" w14:textId="77777777" w:rsidR="00787BF7" w:rsidRDefault="00787BF7">
      <w:pPr>
        <w:pBdr>
          <w:top w:val="nil"/>
          <w:left w:val="nil"/>
          <w:bottom w:val="nil"/>
          <w:right w:val="nil"/>
          <w:between w:val="nil"/>
        </w:pBdr>
        <w:spacing w:after="0" w:line="360" w:lineRule="auto"/>
        <w:jc w:val="both"/>
        <w:rPr>
          <w:rFonts w:ascii="Arial" w:eastAsia="Arial" w:hAnsi="Arial" w:cs="Arial"/>
          <w:sz w:val="24"/>
          <w:szCs w:val="24"/>
        </w:rPr>
      </w:pPr>
    </w:p>
    <w:p w14:paraId="1EA1FD2D" w14:textId="77777777" w:rsidR="00787BF7" w:rsidRDefault="00787BF7">
      <w:pPr>
        <w:pBdr>
          <w:top w:val="nil"/>
          <w:left w:val="nil"/>
          <w:bottom w:val="nil"/>
          <w:right w:val="nil"/>
          <w:between w:val="nil"/>
        </w:pBdr>
        <w:spacing w:after="0" w:line="360" w:lineRule="auto"/>
        <w:jc w:val="both"/>
        <w:rPr>
          <w:rFonts w:ascii="Arial" w:eastAsia="Arial" w:hAnsi="Arial" w:cs="Arial"/>
          <w:sz w:val="24"/>
          <w:szCs w:val="24"/>
        </w:rPr>
      </w:pPr>
    </w:p>
    <w:p w14:paraId="477A6B6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E7665BE" w14:textId="77777777" w:rsidR="00787BF7" w:rsidRDefault="00000000">
      <w:pPr>
        <w:pStyle w:val="Ttulo1"/>
      </w:pPr>
      <w:bookmarkStart w:id="5" w:name="_heading=h.tyjcwt" w:colFirst="0" w:colLast="0"/>
      <w:bookmarkEnd w:id="5"/>
      <w:r>
        <w:t>2 REFERENCIAL TEÓRICO</w:t>
      </w:r>
    </w:p>
    <w:p w14:paraId="5F2A0D6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B501688" w14:textId="77777777" w:rsidR="00787BF7" w:rsidRDefault="00000000">
      <w:pPr>
        <w:pStyle w:val="Ttulo2"/>
      </w:pPr>
      <w:bookmarkStart w:id="6" w:name="_heading=h.3dy6vkm" w:colFirst="0" w:colLast="0"/>
      <w:bookmarkEnd w:id="6"/>
      <w:r>
        <w:t>2.1 A ATRIBUIÇÃO DO ENFERMEIRO, E SUA NOTORIEDADE AO ACOLHIMENTO COM CLASSIFICAÇÃO DE RISCO EM UNIDADES DE PRONTO ATENDIMENTO</w:t>
      </w:r>
    </w:p>
    <w:p w14:paraId="7A7D468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306C0AB"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Segundo Silva (2014), na enfermagem existem várias especializações para dar uma assistência de qualidade ao paciente, sendo uma delas a urgência e a emergência. Estas especializações apresentam características totalmente diferentes de outras unidades e especialidades. É um ambiente com uma dinâmica que impõe ações complexas, nas quais a presença da finitude da vida é uma constante, podendo gerar ansiedade no paciente, no familiar até mesmo aos profissionais que ali desempenham suas atividades.</w:t>
      </w:r>
    </w:p>
    <w:p w14:paraId="251A3910"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Segundo o Ministério da Saúde citado por Camargo Neto </w:t>
      </w:r>
      <w:r>
        <w:rPr>
          <w:rFonts w:ascii="Arial" w:eastAsia="Arial" w:hAnsi="Arial" w:cs="Arial"/>
          <w:i/>
          <w:sz w:val="24"/>
          <w:szCs w:val="24"/>
        </w:rPr>
        <w:t>et al.</w:t>
      </w:r>
      <w:r>
        <w:rPr>
          <w:rFonts w:ascii="Arial" w:eastAsia="Arial" w:hAnsi="Arial" w:cs="Arial"/>
          <w:sz w:val="24"/>
          <w:szCs w:val="24"/>
        </w:rPr>
        <w:t xml:space="preserve"> (2018):</w:t>
      </w:r>
    </w:p>
    <w:p w14:paraId="7A0BE59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573B656" w14:textId="77777777" w:rsidR="00787BF7" w:rsidRDefault="00000000">
      <w:pPr>
        <w:pBdr>
          <w:top w:val="nil"/>
          <w:left w:val="nil"/>
          <w:bottom w:val="nil"/>
          <w:right w:val="nil"/>
          <w:between w:val="nil"/>
        </w:pBdr>
        <w:spacing w:after="0" w:line="240" w:lineRule="auto"/>
        <w:ind w:left="2268"/>
        <w:jc w:val="both"/>
        <w:rPr>
          <w:rFonts w:ascii="Arial" w:eastAsia="Arial" w:hAnsi="Arial" w:cs="Arial"/>
          <w:sz w:val="20"/>
          <w:szCs w:val="20"/>
        </w:rPr>
      </w:pPr>
      <w:r>
        <w:rPr>
          <w:rFonts w:ascii="Arial" w:eastAsia="Arial" w:hAnsi="Arial" w:cs="Arial"/>
          <w:sz w:val="20"/>
          <w:szCs w:val="20"/>
        </w:rPr>
        <w:t>O ato de acolher é um modo propulsor para um atendimento com qualidade, respeito, dignidade e compromisso para todos os usuários que procuram um serviço de urgência, direcionando-os de acordo com as suas necessidades e garantindo uma rede assistencial continuada.</w:t>
      </w:r>
    </w:p>
    <w:p w14:paraId="3326CB0C"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24861F9"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Camargo Neto </w:t>
      </w:r>
      <w:r>
        <w:rPr>
          <w:rFonts w:ascii="Arial" w:eastAsia="Arial" w:hAnsi="Arial" w:cs="Arial"/>
          <w:i/>
          <w:sz w:val="24"/>
          <w:szCs w:val="24"/>
        </w:rPr>
        <w:t xml:space="preserve">et al. </w:t>
      </w:r>
      <w:r>
        <w:rPr>
          <w:rFonts w:ascii="Arial" w:eastAsia="Arial" w:hAnsi="Arial" w:cs="Arial"/>
          <w:sz w:val="24"/>
          <w:szCs w:val="24"/>
        </w:rPr>
        <w:t>(2018) salienta que, o método de acolhimento com a classificação de risco, precisa ser executado por um especialista da saúde, com especialização de nível superior, antecipadamente treinado e envasado em protocolos pré estabelecidos.</w:t>
      </w:r>
    </w:p>
    <w:p w14:paraId="5DE38CC2"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color w:val="111111"/>
          <w:sz w:val="24"/>
          <w:szCs w:val="24"/>
        </w:rPr>
        <w:t>Já para Gatti (2008) tornar-se um profissional enfermeiro em classificação de risco, o mesmo, deve-se demonstrar três aptidões principais: avaliação, conhecimento e intuição. A intuição é desenvolvida através da experiência, sensibilidade e observação hábil.</w:t>
      </w:r>
    </w:p>
    <w:p w14:paraId="7D9BDFB1"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color w:val="111111"/>
          <w:sz w:val="24"/>
          <w:szCs w:val="24"/>
        </w:rPr>
      </w:pPr>
      <w:r>
        <w:rPr>
          <w:rFonts w:ascii="Arial" w:eastAsia="Arial" w:hAnsi="Arial" w:cs="Arial"/>
          <w:color w:val="111111"/>
          <w:sz w:val="24"/>
          <w:szCs w:val="24"/>
        </w:rPr>
        <w:t>Segundo Brasil (2011)</w:t>
      </w:r>
    </w:p>
    <w:p w14:paraId="5FE174B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748AF82" w14:textId="77777777" w:rsidR="00787BF7" w:rsidRDefault="00000000">
      <w:pPr>
        <w:pBdr>
          <w:top w:val="nil"/>
          <w:left w:val="nil"/>
          <w:bottom w:val="nil"/>
          <w:right w:val="nil"/>
          <w:between w:val="nil"/>
        </w:pBdr>
        <w:spacing w:after="0" w:line="240" w:lineRule="auto"/>
        <w:ind w:left="2268"/>
        <w:jc w:val="both"/>
        <w:rPr>
          <w:rFonts w:ascii="Arial" w:eastAsia="Arial" w:hAnsi="Arial" w:cs="Arial"/>
          <w:sz w:val="20"/>
          <w:szCs w:val="20"/>
        </w:rPr>
      </w:pPr>
      <w:r>
        <w:rPr>
          <w:rFonts w:ascii="Arial" w:eastAsia="Arial" w:hAnsi="Arial" w:cs="Arial"/>
          <w:sz w:val="20"/>
          <w:szCs w:val="20"/>
        </w:rPr>
        <w:t>O acolhimento com classificação de risco surgiu como uma importante ferramenta na administração da emergência, porque direciona as ações do enfermeiro pelo estabelecimento de critérios de atendimento, efetivando seu trabalho não só na assistência ao paciente, mas também como gestor, garantindo a participação coletiva no processo, e o mais importante de tudo é a indissociabilização entre a atenção e gestão.</w:t>
      </w:r>
    </w:p>
    <w:p w14:paraId="6A81EC2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54EBEBD"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Camargo Neto </w:t>
      </w:r>
      <w:r>
        <w:rPr>
          <w:rFonts w:ascii="Arial" w:eastAsia="Arial" w:hAnsi="Arial" w:cs="Arial"/>
          <w:i/>
          <w:sz w:val="24"/>
          <w:szCs w:val="24"/>
        </w:rPr>
        <w:t>et al.</w:t>
      </w:r>
      <w:r>
        <w:rPr>
          <w:rFonts w:ascii="Arial" w:eastAsia="Arial" w:hAnsi="Arial" w:cs="Arial"/>
          <w:sz w:val="24"/>
          <w:szCs w:val="24"/>
        </w:rPr>
        <w:t xml:space="preserve"> (2018) destaca que o acolhimento com classificação de risco, são essenciais para prática ao atendimento, com prestação em serviço de qualidade, que são evidenciados como atuação do profissional enfermeiro, pois se faz jus às suas responsabilidades e assim priorizando a ordem de atendimento.</w:t>
      </w:r>
    </w:p>
    <w:p w14:paraId="08F80F36"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Segundo Acosta, Duro e Lima (2012):</w:t>
      </w:r>
    </w:p>
    <w:p w14:paraId="2F6C471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7EFE0DF" w14:textId="77777777" w:rsidR="00787BF7" w:rsidRDefault="00000000">
      <w:pPr>
        <w:pBdr>
          <w:top w:val="nil"/>
          <w:left w:val="nil"/>
          <w:bottom w:val="nil"/>
          <w:right w:val="nil"/>
          <w:between w:val="nil"/>
        </w:pBdr>
        <w:spacing w:after="0" w:line="240" w:lineRule="auto"/>
        <w:ind w:left="2268"/>
        <w:jc w:val="both"/>
        <w:rPr>
          <w:rFonts w:ascii="Arial" w:eastAsia="Arial" w:hAnsi="Arial" w:cs="Arial"/>
          <w:sz w:val="20"/>
          <w:szCs w:val="20"/>
        </w:rPr>
      </w:pPr>
      <w:r>
        <w:rPr>
          <w:rFonts w:ascii="Arial" w:eastAsia="Arial" w:hAnsi="Arial" w:cs="Arial"/>
          <w:sz w:val="20"/>
          <w:szCs w:val="20"/>
        </w:rPr>
        <w:t>A avaliação da classificação de risco é geralmente realizada pelos enfermeiros. Autores afirmam que os enfermeiros reúnem as condições necessárias, as quais incluem linguagem clínica orientada para os sinais e sintomas, para a realização das escalas de avaliação e classificação de risco.</w:t>
      </w:r>
    </w:p>
    <w:p w14:paraId="7892A898" w14:textId="77777777" w:rsidR="00787BF7" w:rsidRDefault="00787BF7">
      <w:pPr>
        <w:pBdr>
          <w:top w:val="nil"/>
          <w:left w:val="nil"/>
          <w:bottom w:val="nil"/>
          <w:right w:val="nil"/>
          <w:between w:val="nil"/>
        </w:pBdr>
        <w:spacing w:after="0" w:line="360" w:lineRule="auto"/>
        <w:jc w:val="both"/>
        <w:rPr>
          <w:rFonts w:ascii="Arial" w:eastAsia="Arial" w:hAnsi="Arial" w:cs="Arial"/>
          <w:sz w:val="24"/>
          <w:szCs w:val="24"/>
        </w:rPr>
      </w:pPr>
    </w:p>
    <w:p w14:paraId="2D5ACA67"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O Ministério da Saúde (BRASIL, 2002), segundo a Portaria nº 2.048, define que a forma de atendimento às ocorrências de urgência e emergência, expõe que o acolhimento seja de qualidade e decisória, enfatizando sobre a importância da qualificação dos profissionais frente à classificação (CAMARGO NETO </w:t>
      </w:r>
      <w:r>
        <w:rPr>
          <w:rFonts w:ascii="Arial" w:eastAsia="Arial" w:hAnsi="Arial" w:cs="Arial"/>
          <w:i/>
          <w:sz w:val="24"/>
          <w:szCs w:val="24"/>
        </w:rPr>
        <w:t>et al.</w:t>
      </w:r>
      <w:r>
        <w:rPr>
          <w:rFonts w:ascii="Arial" w:eastAsia="Arial" w:hAnsi="Arial" w:cs="Arial"/>
          <w:sz w:val="24"/>
          <w:szCs w:val="24"/>
        </w:rPr>
        <w:t>, 2018).</w:t>
      </w:r>
    </w:p>
    <w:p w14:paraId="0F139C93"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Assim, o acolhimento por meio da avaliação e classificação de risco caracteriza-se como uma intervenção potencialmente decisiva na reorganização e implementação da promoção da saúde na rede, pois decorre da equipe auto integrada de análise, problematização e propostas, sujeito de seu processo de trabalho (BRASIL, 2004).</w:t>
      </w:r>
    </w:p>
    <w:p w14:paraId="7E6A6DFE"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color w:val="222222"/>
          <w:sz w:val="24"/>
          <w:szCs w:val="24"/>
        </w:rPr>
        <w:t xml:space="preserve">Campos </w:t>
      </w:r>
      <w:r>
        <w:rPr>
          <w:rFonts w:ascii="Arial" w:eastAsia="Arial" w:hAnsi="Arial" w:cs="Arial"/>
          <w:i/>
          <w:color w:val="222222"/>
          <w:sz w:val="24"/>
          <w:szCs w:val="24"/>
        </w:rPr>
        <w:t>et al.</w:t>
      </w:r>
      <w:r>
        <w:rPr>
          <w:rFonts w:ascii="Arial" w:eastAsia="Arial" w:hAnsi="Arial" w:cs="Arial"/>
          <w:color w:val="222222"/>
          <w:sz w:val="24"/>
          <w:szCs w:val="24"/>
        </w:rPr>
        <w:t xml:space="preserve"> (2020), d</w:t>
      </w:r>
      <w:r>
        <w:rPr>
          <w:rFonts w:ascii="Arial" w:eastAsia="Arial" w:hAnsi="Arial" w:cs="Arial"/>
          <w:sz w:val="24"/>
          <w:szCs w:val="24"/>
        </w:rPr>
        <w:t>e acordo com a Portaria nº 2048, assegura que os trabalhadores de saúde devem passar por treinamento especial para trabalhar com classificação de risco e aplicar um protocolo pré-determinado, uma vez que não exige especialização específica. Acredita-se que a falta de treinamento pode levar a erros no processo de classificação do usuário, o que pode levar a classificações equivocadas e colocar em risco a saúde da população que procura esse tipo de atendimento.</w:t>
      </w:r>
    </w:p>
    <w:p w14:paraId="540AAB2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853BC39" w14:textId="77777777" w:rsidR="00787BF7" w:rsidRDefault="00000000">
      <w:pPr>
        <w:pStyle w:val="Ttulo2"/>
      </w:pPr>
      <w:bookmarkStart w:id="7" w:name="_heading=h.1t3h5sf" w:colFirst="0" w:colLast="0"/>
      <w:bookmarkEnd w:id="7"/>
      <w:r>
        <w:t>2.2 O ACESSO ÀS UNIDADES DE URGÊNCIA E EMERGÊNCIA</w:t>
      </w:r>
    </w:p>
    <w:p w14:paraId="7F68A920" w14:textId="77777777" w:rsidR="00787BF7" w:rsidRDefault="00787BF7">
      <w:pPr>
        <w:pBdr>
          <w:top w:val="nil"/>
          <w:left w:val="nil"/>
          <w:bottom w:val="nil"/>
          <w:right w:val="nil"/>
          <w:between w:val="nil"/>
        </w:pBdr>
        <w:spacing w:after="0" w:line="360" w:lineRule="auto"/>
        <w:jc w:val="both"/>
        <w:rPr>
          <w:rFonts w:ascii="Arial" w:eastAsia="Arial" w:hAnsi="Arial" w:cs="Arial"/>
          <w:sz w:val="24"/>
          <w:szCs w:val="24"/>
        </w:rPr>
      </w:pPr>
    </w:p>
    <w:p w14:paraId="6D2D2955"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Os serviços de urgência funcionam todos os dias da semana durante 24 horas e têm como objetivo diminuir a morbimortalidade e as sequelas incapacitantes, o que implica na necessidade de uma equipe de grande porte que esteja sempre de prontidão para garantir esse nível de responsabilidade. Do ponto de vista operacional as unidades de urgência e emergência constituem serviços de maior gravidade por ser uma unidade de recursos fixos preparado para receber uma variada demanda e age juntamente com todos os níveis de saúde do SUS (SANTOS, 2014)</w:t>
      </w:r>
    </w:p>
    <w:p w14:paraId="789793B1"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Diante desse contexto Pires </w:t>
      </w:r>
      <w:r>
        <w:rPr>
          <w:rFonts w:ascii="Arial" w:eastAsia="Arial" w:hAnsi="Arial" w:cs="Arial"/>
          <w:i/>
          <w:sz w:val="24"/>
          <w:szCs w:val="24"/>
        </w:rPr>
        <w:t>et al.</w:t>
      </w:r>
      <w:r>
        <w:rPr>
          <w:rFonts w:ascii="Arial" w:eastAsia="Arial" w:hAnsi="Arial" w:cs="Arial"/>
          <w:sz w:val="24"/>
          <w:szCs w:val="24"/>
        </w:rPr>
        <w:t xml:space="preserve"> (2013), ressalta que as salas de emergência são constituídas por pacientes graves, equipamentos, equipe multiprofissional com conhecimentos e experiência para operacionalizar a aparelhagem e prestar atendimento ao paciente.</w:t>
      </w:r>
    </w:p>
    <w:p w14:paraId="6A09EA34"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Às urgências e emergências são unidades que oferecem atendimentos agéis e eficazes em decorrência do somatório de recursos como: medicações, consultas, exames de sangue, exames de imagem para complementar diagnósticos e sendo encaixado no fluxograma da unidade para dar sequência ao tratamento imediato.(MELO; SILVA, 2011)</w:t>
      </w:r>
    </w:p>
    <w:p w14:paraId="196AC54E"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Porém, este serviço é um importante componente de saúde no Brasil, que vem se revelando a cada dia com situações mais caóticas e cada vez mais com longas filas de espera. A desarticulação do trabalho da atenção básica com o restante do sistema, justifica essa situação. A relação com hospitais e ambulatórios anda fragmentada, gerando demora e pouca resolutividade (BRASIL, 2006).</w:t>
      </w:r>
    </w:p>
    <w:p w14:paraId="301FF0D7"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 mesmo autor refere que a situação estabelecida se mostra de maneira equivocada já que a rede básica tem como função acolher, prestar atendimentos aos casos de urgência e menor complexidade, sendo importante ressaltar que os profissionais dessas unidades saibam identificar os casos de maior gravidade e encaminhá-los para o serviço de referência. Além disso, essas unidades devem ter um espaço munido de medicações e materiais necessários para prestar o primeiro atendimento de emergência em casos que ocorram nas proximidades da unidade ou em sua área de abrangência, até a viabilização da transferência para unidades de maior porte.</w:t>
      </w:r>
    </w:p>
    <w:p w14:paraId="54674816"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Tendo em vista essas características de atendimento, o usuário do SUS tende a buscar alternativas mais rápidas acessando assim as “portas de entrada” das unidades de urgência (BRASIL, 2006).</w:t>
      </w:r>
    </w:p>
    <w:p w14:paraId="194567FC"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De acordo com Shiroma (2008), nos últimos dias o aumento da demanda as unidades de emergência se dá ao crescente e alarmante índice de violência urbana e acidentes automobilísticos, trazendo um forte impacto ao SUS, fazendo com que os serviços de emergências sem tornem desestruturados e sobrecarregados serviços tornado esta área uma das áreas mais problemáticas do sistema brasileiro de saúde.</w:t>
      </w:r>
    </w:p>
    <w:p w14:paraId="16B2E8EB"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Nascimento </w:t>
      </w:r>
      <w:r>
        <w:rPr>
          <w:rFonts w:ascii="Arial" w:eastAsia="Arial" w:hAnsi="Arial" w:cs="Arial"/>
          <w:i/>
          <w:sz w:val="24"/>
          <w:szCs w:val="24"/>
        </w:rPr>
        <w:t>et al.</w:t>
      </w:r>
      <w:r>
        <w:rPr>
          <w:rFonts w:ascii="Arial" w:eastAsia="Arial" w:hAnsi="Arial" w:cs="Arial"/>
          <w:sz w:val="24"/>
          <w:szCs w:val="24"/>
        </w:rPr>
        <w:t xml:space="preserve"> (2011), complementa informando que a grande procura por atendimento nos serviços de urgência hospitalar tem inúmeras causas que podem estar associadas ao aumento de acidentes e da violência urbana, dentre elas podemos citar as questões socioeconômicas, a falta de leitos para internação na rede pública e o aumento da longevidade da população.</w:t>
      </w:r>
    </w:p>
    <w:p w14:paraId="689E45F4"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AEE7F87" w14:textId="77777777" w:rsidR="00787BF7" w:rsidRDefault="00000000">
      <w:pPr>
        <w:pStyle w:val="Ttulo2"/>
      </w:pPr>
      <w:bookmarkStart w:id="8" w:name="_heading=h.4d34og8" w:colFirst="0" w:colLast="0"/>
      <w:bookmarkEnd w:id="8"/>
      <w:r>
        <w:t>2.3 CONCEITO DE TRIAGEM OU CLASSIFICAÇÃO DE RISCO</w:t>
      </w:r>
    </w:p>
    <w:p w14:paraId="4A9F285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6DCA58B"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 protocolo de classificação de risco é uma ferramenta útil e necessária, porém não suficiente, uma vez que não pretende capturar os aspectos subjetivos, afetivos, sociais, culturais, cuja compreensão é fundamental para uma efetiva avaliação do risco e da vulnerabilidade de cada pessoa. O protocolo de classificação de risco é uma ferramenta que procura o serviço de urgência, pois o protocolo não substitui a interação, o diálogo, a escuta, o respeito ou o acolhimento do cidadão e de sua queixa para a avaliação do seu potencial de agravamento (BRASIL, 2006)</w:t>
      </w:r>
    </w:p>
    <w:p w14:paraId="69C7A7F3"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Os princípios de universalidade, equidade, resolutividade e integralidade e integralidade das ações de saúde embasam a consulta de enfermagem na coleta de dados, através do Histórico de Enfermagem (compreendendo a entrevista), exame físico diagnóstico de Enfermagem, prescrição e implementação da assistência e evolução de enfermagem (COFEN, 2012) </w:t>
      </w:r>
    </w:p>
    <w:p w14:paraId="2B83090B" w14:textId="77777777" w:rsidR="00787BF7" w:rsidRDefault="00000000">
      <w:pPr>
        <w:pBdr>
          <w:top w:val="nil"/>
          <w:left w:val="nil"/>
          <w:bottom w:val="nil"/>
          <w:right w:val="nil"/>
          <w:between w:val="nil"/>
        </w:pBdr>
        <w:spacing w:after="0" w:line="360" w:lineRule="auto"/>
        <w:ind w:firstLine="708"/>
        <w:jc w:val="both"/>
        <w:rPr>
          <w:rFonts w:ascii="Arial" w:eastAsia="Arial" w:hAnsi="Arial" w:cs="Arial"/>
          <w:sz w:val="24"/>
          <w:szCs w:val="24"/>
        </w:rPr>
      </w:pPr>
      <w:r>
        <w:rPr>
          <w:rFonts w:ascii="Arial" w:eastAsia="Arial" w:hAnsi="Arial" w:cs="Arial"/>
          <w:sz w:val="24"/>
          <w:szCs w:val="24"/>
        </w:rPr>
        <w:t>O COFEN através da resolução nº 423/2012 confere privativamente ao enfermeiro a classificação de risco e a priorização do atendimento em Serviços de Urgência como um processo complexo, que demanda competência técnica e científica em sua execução. Ao chegar na unidade de saúde após passar pela recepção, cabe ao enfermeiro acolher, realizar uma escuta qualificada e aplicar o fluxograma conforme o protocolo. (COFEN, 2012)</w:t>
      </w:r>
    </w:p>
    <w:p w14:paraId="5CFEB6D2"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De acordo com Costa </w:t>
      </w:r>
      <w:r>
        <w:rPr>
          <w:rFonts w:ascii="Arial" w:eastAsia="Arial" w:hAnsi="Arial" w:cs="Arial"/>
          <w:i/>
          <w:sz w:val="24"/>
          <w:szCs w:val="24"/>
        </w:rPr>
        <w:t>et al.</w:t>
      </w:r>
      <w:r>
        <w:rPr>
          <w:rFonts w:ascii="Arial" w:eastAsia="Arial" w:hAnsi="Arial" w:cs="Arial"/>
          <w:sz w:val="24"/>
          <w:szCs w:val="24"/>
        </w:rPr>
        <w:t xml:space="preserve"> (2021), o sistema de triagem tem o objetivo de organizar as demandas, que vão às emergências em busca de atendimentos; os pacientes direcionados por identificação de prioridades em segurança aguardam uma avaliação diagnóstica. Para suceder uma triagem estruturada, faz-se necessário a referência de um protocolo de classificação válido, que traz um algoritmo (árvores decisionais) permitindo priorização da assistência, acrescido dos equipamentos, estrutura física e habilidade profissional quanto ao risco.</w:t>
      </w:r>
    </w:p>
    <w:p w14:paraId="32B88F99"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D69BD57" w14:textId="77777777" w:rsidR="00787BF7" w:rsidRDefault="00000000">
      <w:pPr>
        <w:pStyle w:val="Ttulo2"/>
      </w:pPr>
      <w:bookmarkStart w:id="9" w:name="_heading=h.2s8eyo1" w:colFirst="0" w:colLast="0"/>
      <w:bookmarkEnd w:id="9"/>
      <w:r>
        <w:t>2.4 FATORES QUE EVIDENCIAM O DÉFICIT AO ATENDIMENTO SEGUINDO DA DEMANDA DA CLASSIFICAÇÃO.</w:t>
      </w:r>
    </w:p>
    <w:p w14:paraId="0C91ADD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BC7C97B"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Devido ao quadro importante de crescimento da demanda por atendimento de urgência e emergência, considera-se que o grande avanço do número de ocorrências e violência, por causas externas, chegou ao nível de hoje a terceira morte no Brasil. (CAVALCANTE </w:t>
      </w:r>
      <w:r>
        <w:rPr>
          <w:rFonts w:ascii="Arial" w:eastAsia="Arial" w:hAnsi="Arial" w:cs="Arial"/>
          <w:i/>
          <w:sz w:val="24"/>
          <w:szCs w:val="24"/>
        </w:rPr>
        <w:t>et al.</w:t>
      </w:r>
      <w:r>
        <w:rPr>
          <w:rFonts w:ascii="Arial" w:eastAsia="Arial" w:hAnsi="Arial" w:cs="Arial"/>
          <w:sz w:val="24"/>
          <w:szCs w:val="24"/>
        </w:rPr>
        <w:t>, 2012)</w:t>
      </w:r>
    </w:p>
    <w:p w14:paraId="4A89577D"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O Sistema único de saúde (SUS), apresenta serviços importantes de assistência à saúde no Brasil, sendo porta de entrada de pacientes do sistema (CESAR </w:t>
      </w:r>
      <w:r>
        <w:rPr>
          <w:rFonts w:ascii="Arial" w:eastAsia="Arial" w:hAnsi="Arial" w:cs="Arial"/>
          <w:i/>
          <w:sz w:val="24"/>
          <w:szCs w:val="24"/>
        </w:rPr>
        <w:t>et al.</w:t>
      </w:r>
      <w:r>
        <w:rPr>
          <w:rFonts w:ascii="Arial" w:eastAsia="Arial" w:hAnsi="Arial" w:cs="Arial"/>
          <w:sz w:val="24"/>
          <w:szCs w:val="24"/>
        </w:rPr>
        <w:t>, 2021).</w:t>
      </w:r>
    </w:p>
    <w:p w14:paraId="11EE2E28"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Segundo Campos </w:t>
      </w:r>
      <w:r>
        <w:rPr>
          <w:rFonts w:ascii="Arial" w:eastAsia="Arial" w:hAnsi="Arial" w:cs="Arial"/>
          <w:i/>
          <w:sz w:val="24"/>
          <w:szCs w:val="24"/>
        </w:rPr>
        <w:t>et al.</w:t>
      </w:r>
      <w:r>
        <w:rPr>
          <w:rFonts w:ascii="Arial" w:eastAsia="Arial" w:hAnsi="Arial" w:cs="Arial"/>
          <w:sz w:val="24"/>
          <w:szCs w:val="24"/>
        </w:rPr>
        <w:t xml:space="preserve"> (2020):</w:t>
      </w:r>
    </w:p>
    <w:p w14:paraId="796D5C8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3841A2F" w14:textId="77777777" w:rsidR="00787BF7" w:rsidRDefault="00000000">
      <w:pPr>
        <w:pBdr>
          <w:top w:val="nil"/>
          <w:left w:val="nil"/>
          <w:bottom w:val="nil"/>
          <w:right w:val="nil"/>
          <w:between w:val="nil"/>
        </w:pBdr>
        <w:spacing w:after="0" w:line="240" w:lineRule="auto"/>
        <w:ind w:left="2268"/>
        <w:jc w:val="both"/>
        <w:rPr>
          <w:rFonts w:ascii="Arial" w:eastAsia="Arial" w:hAnsi="Arial" w:cs="Arial"/>
          <w:sz w:val="20"/>
          <w:szCs w:val="20"/>
        </w:rPr>
      </w:pPr>
      <w:r>
        <w:rPr>
          <w:rFonts w:ascii="Arial" w:eastAsia="Arial" w:hAnsi="Arial" w:cs="Arial"/>
          <w:sz w:val="20"/>
          <w:szCs w:val="20"/>
        </w:rPr>
        <w:t>Os serviços de pronto atendimento são reconhecidos como ‘portas de entrada’ do Sistema Único de Saúde (SUS) e, por vez, possuem alta demanda e superlotação, o que dificulta a identificação das prioridades de atendimento. Entre os fatores relacionados a essa superlotação, destacam-se: o fato de ser utilizado como primeira escolha para obter atendimento em saúde; o aumento da população demográfica e da expectativa de vida, e a prevalência de doenças crônicas ou a procura de atendimento em fases agudas.</w:t>
      </w:r>
    </w:p>
    <w:p w14:paraId="2DED6740" w14:textId="77777777" w:rsidR="00787BF7" w:rsidRDefault="00787BF7">
      <w:pPr>
        <w:pBdr>
          <w:top w:val="nil"/>
          <w:left w:val="nil"/>
          <w:bottom w:val="nil"/>
          <w:right w:val="nil"/>
          <w:between w:val="nil"/>
        </w:pBdr>
        <w:spacing w:after="0" w:line="240" w:lineRule="auto"/>
        <w:ind w:left="2268"/>
        <w:jc w:val="both"/>
        <w:rPr>
          <w:rFonts w:ascii="Arial" w:eastAsia="Arial" w:hAnsi="Arial" w:cs="Arial"/>
          <w:sz w:val="20"/>
          <w:szCs w:val="20"/>
        </w:rPr>
      </w:pPr>
    </w:p>
    <w:p w14:paraId="079EC491"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Para esclarecer melhor Roncalli </w:t>
      </w:r>
      <w:r>
        <w:rPr>
          <w:rFonts w:ascii="Arial" w:eastAsia="Arial" w:hAnsi="Arial" w:cs="Arial"/>
          <w:i/>
          <w:sz w:val="24"/>
          <w:szCs w:val="24"/>
        </w:rPr>
        <w:t>et al.</w:t>
      </w:r>
      <w:r>
        <w:rPr>
          <w:rFonts w:ascii="Arial" w:eastAsia="Arial" w:hAnsi="Arial" w:cs="Arial"/>
          <w:sz w:val="24"/>
          <w:szCs w:val="24"/>
        </w:rPr>
        <w:t xml:space="preserve"> (2017) relata que os serviços de urgência caracterizam-se, para os cidadãos brasileiros, como uma das portas de entrada no sistema de saúde público e privado. Representa assim, um rápido e eficaz atendimento no ambiente, podendo relatar qualquer tipo de dificuldades representadas pelos usuários.</w:t>
      </w:r>
    </w:p>
    <w:p w14:paraId="70E798A2"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Shiroma e Pires (2011), relatam que a alta demanda de pacientes, imprevisibilidade de suas visitas, redução de espaço físico, falta de prioridade de atendimento, por exemplo, tornam o pronto-socorro (EMG) um local onde a organização do trabalho é muito difícil. Além disso, a busca indiscriminada por serviços de EMG mobiliza desnecessariamente recursos humanos e materiais especiais, o que reforça a desvalorização da atenção básica e resolve paliativamente os problemas de saúde pública.</w:t>
      </w:r>
    </w:p>
    <w:p w14:paraId="7FD77443"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De acordo com Machado </w:t>
      </w:r>
      <w:r>
        <w:rPr>
          <w:rFonts w:ascii="Arial" w:eastAsia="Arial" w:hAnsi="Arial" w:cs="Arial"/>
          <w:i/>
          <w:sz w:val="24"/>
          <w:szCs w:val="24"/>
        </w:rPr>
        <w:t>et al.</w:t>
      </w:r>
      <w:r>
        <w:rPr>
          <w:rFonts w:ascii="Arial" w:eastAsia="Arial" w:hAnsi="Arial" w:cs="Arial"/>
          <w:sz w:val="24"/>
          <w:szCs w:val="24"/>
        </w:rPr>
        <w:t xml:space="preserve"> (2016), é indispensável a visão do usuário do sistema, fornecendo um importante indicador e influenciador a qualidade de serviço pelo profissional e sua equipe, bem como influenciando positivamente na qualidade da assistência do cuidado ao paciente. O importante reconhecimento de profissional-paciente, une o serviço de qualidade nas formas de prestação de serviços de saúde.</w:t>
      </w:r>
    </w:p>
    <w:p w14:paraId="07942076"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color w:val="222222"/>
          <w:sz w:val="24"/>
          <w:szCs w:val="24"/>
        </w:rPr>
        <w:t xml:space="preserve">Cesar </w:t>
      </w:r>
      <w:r>
        <w:rPr>
          <w:rFonts w:ascii="Arial" w:eastAsia="Arial" w:hAnsi="Arial" w:cs="Arial"/>
          <w:i/>
          <w:color w:val="222222"/>
          <w:sz w:val="24"/>
          <w:szCs w:val="24"/>
        </w:rPr>
        <w:t>et al.</w:t>
      </w:r>
      <w:r>
        <w:rPr>
          <w:rFonts w:ascii="Arial" w:eastAsia="Arial" w:hAnsi="Arial" w:cs="Arial"/>
          <w:color w:val="222222"/>
          <w:sz w:val="24"/>
          <w:szCs w:val="24"/>
        </w:rPr>
        <w:t xml:space="preserve"> (2021) De acordo com a pesquisa dos respectivos autores, as intervenções ao funcionamento do pronto-socorro podem ser percebidas como ajuda imediata, esse conhecimento é importante porque tempo é vida no caso do atendimento de urgência e emergência. Por outro lado, também pode ser cabido como um dever a presteza no atendimento, independente do motivo ou da demanda do paciente. No entanto, sabe-se que apenas os casos urgentes ou emergentes terão essa brevidade no atendimento, independente do fluxo da unidade. Este fator pode levar a insatisfação dos usuários, quando apresentam um caso mais simples ou menos urgente, seu atendimento pode não ser muito breve, dependendo da solicitação do serviço.</w:t>
      </w:r>
    </w:p>
    <w:p w14:paraId="58ADF48E"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 COFEN através da resolução nº 661/2021 se faz jus, que é de garantia e segurança do paciente, bem como o profissional responsável pelo protocolo, que deverá ser observado o tempo médio de 04 (quatro) minutos por classificação de risco, podendo chegar o limite de 15 (quinze) minutos a classificação por hora. Já no Art. 2º ressalta quanto a importância do enfermeiro frente a classificação ficar de total prioridade a se portar a outras atividades. (COFEN, 2021)</w:t>
      </w:r>
    </w:p>
    <w:p w14:paraId="248BD370"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Conforme o autor supracitado, outro motivo de que a atenção primária não conseguiria dar conta das agendas, sendo superlotadas, limitando os atendimentos médico dos pacientes </w:t>
      </w:r>
      <w:r>
        <w:rPr>
          <w:rFonts w:ascii="Arial" w:eastAsia="Arial" w:hAnsi="Arial" w:cs="Arial"/>
          <w:color w:val="222222"/>
          <w:sz w:val="24"/>
          <w:szCs w:val="24"/>
        </w:rPr>
        <w:t xml:space="preserve">(CESAR </w:t>
      </w:r>
      <w:r>
        <w:rPr>
          <w:rFonts w:ascii="Arial" w:eastAsia="Arial" w:hAnsi="Arial" w:cs="Arial"/>
          <w:i/>
          <w:color w:val="222222"/>
          <w:sz w:val="24"/>
          <w:szCs w:val="24"/>
        </w:rPr>
        <w:t>et al.</w:t>
      </w:r>
      <w:r>
        <w:rPr>
          <w:rFonts w:ascii="Arial" w:eastAsia="Arial" w:hAnsi="Arial" w:cs="Arial"/>
          <w:color w:val="222222"/>
          <w:sz w:val="24"/>
          <w:szCs w:val="24"/>
        </w:rPr>
        <w:t>, 2021)</w:t>
      </w:r>
    </w:p>
    <w:p w14:paraId="233B4016"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color w:val="222222"/>
          <w:sz w:val="24"/>
          <w:szCs w:val="24"/>
        </w:rPr>
      </w:pPr>
      <w:r>
        <w:rPr>
          <w:rFonts w:ascii="Arial" w:eastAsia="Arial" w:hAnsi="Arial" w:cs="Arial"/>
          <w:color w:val="222222"/>
          <w:sz w:val="24"/>
          <w:szCs w:val="24"/>
        </w:rPr>
        <w:t xml:space="preserve">Segundo Cavalcante </w:t>
      </w:r>
      <w:r>
        <w:rPr>
          <w:rFonts w:ascii="Arial" w:eastAsia="Arial" w:hAnsi="Arial" w:cs="Arial"/>
          <w:i/>
          <w:color w:val="222222"/>
          <w:sz w:val="24"/>
          <w:szCs w:val="24"/>
        </w:rPr>
        <w:t xml:space="preserve">et al. </w:t>
      </w:r>
      <w:r>
        <w:rPr>
          <w:rFonts w:ascii="Arial" w:eastAsia="Arial" w:hAnsi="Arial" w:cs="Arial"/>
          <w:color w:val="222222"/>
          <w:sz w:val="24"/>
          <w:szCs w:val="24"/>
        </w:rPr>
        <w:t>(2012)</w:t>
      </w:r>
    </w:p>
    <w:p w14:paraId="3316620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CBAD4A5" w14:textId="77777777" w:rsidR="00787BF7" w:rsidRDefault="00000000">
      <w:pPr>
        <w:pBdr>
          <w:top w:val="nil"/>
          <w:left w:val="nil"/>
          <w:bottom w:val="nil"/>
          <w:right w:val="nil"/>
          <w:between w:val="nil"/>
        </w:pBdr>
        <w:spacing w:after="0" w:line="240" w:lineRule="auto"/>
        <w:ind w:left="2268"/>
        <w:jc w:val="both"/>
        <w:rPr>
          <w:rFonts w:ascii="Arial" w:eastAsia="Arial" w:hAnsi="Arial" w:cs="Arial"/>
          <w:sz w:val="20"/>
          <w:szCs w:val="20"/>
        </w:rPr>
      </w:pPr>
      <w:r>
        <w:rPr>
          <w:rFonts w:ascii="Arial" w:eastAsia="Arial" w:hAnsi="Arial" w:cs="Arial"/>
          <w:sz w:val="20"/>
          <w:szCs w:val="20"/>
        </w:rPr>
        <w:t>A deficiência da rede básica gera a procura espontânea da população pelos serviços de urgência, que culmina na sobrecarga dos prontos-socorros e baixa qualidade da assistência. A solução para as urgências está na mudança de modelo de atenção primária, um modelo que privilegie a atenção primária, com uma assistência forte e resolutiva.</w:t>
      </w:r>
    </w:p>
    <w:p w14:paraId="267CA9B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786A692"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Em via de regra, um dos contratempos que os serviços de saúde e, basicamente, os de urgência e emergência, defronta-se é com a superlotação, concebendo filas e horas de espera pelo atendimento. Precedentemente, o atendimento era realizado pela ordem de chegada, não levando em consideração a gravidade do paciente (COSTA </w:t>
      </w:r>
      <w:r>
        <w:rPr>
          <w:rFonts w:ascii="Arial" w:eastAsia="Arial" w:hAnsi="Arial" w:cs="Arial"/>
          <w:i/>
          <w:sz w:val="24"/>
          <w:szCs w:val="24"/>
        </w:rPr>
        <w:t>et al.</w:t>
      </w:r>
      <w:r>
        <w:rPr>
          <w:rFonts w:ascii="Arial" w:eastAsia="Arial" w:hAnsi="Arial" w:cs="Arial"/>
          <w:sz w:val="24"/>
          <w:szCs w:val="24"/>
        </w:rPr>
        <w:t>, 2021)</w:t>
      </w:r>
    </w:p>
    <w:p w14:paraId="23B0FC84"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Por fim, não é mais aceitável, que seja sustentado nesses encargos por ordem de chegada, posicionando em risco de morte cidadãos em situação de emergência, durante o tempo que se presta uma assistência a outros que precisam estar na atenção básica (CAVALCANTE </w:t>
      </w:r>
      <w:r>
        <w:rPr>
          <w:rFonts w:ascii="Arial" w:eastAsia="Arial" w:hAnsi="Arial" w:cs="Arial"/>
          <w:i/>
          <w:sz w:val="24"/>
          <w:szCs w:val="24"/>
        </w:rPr>
        <w:t>et al</w:t>
      </w:r>
      <w:r>
        <w:rPr>
          <w:rFonts w:ascii="Arial" w:eastAsia="Arial" w:hAnsi="Arial" w:cs="Arial"/>
          <w:sz w:val="24"/>
          <w:szCs w:val="24"/>
        </w:rPr>
        <w:t>., 2012)</w:t>
      </w:r>
    </w:p>
    <w:p w14:paraId="57D426B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0DF6294" w14:textId="77777777" w:rsidR="00787BF7" w:rsidRDefault="00000000">
      <w:pPr>
        <w:pStyle w:val="Ttulo2"/>
      </w:pPr>
      <w:bookmarkStart w:id="10" w:name="_heading=h.17dp8vu" w:colFirst="0" w:colLast="0"/>
      <w:bookmarkEnd w:id="10"/>
      <w:r>
        <w:t>2.5 ESCALAS EXISTENTES, E A ATUAL UTILIZADA NO BRASIL</w:t>
      </w:r>
    </w:p>
    <w:p w14:paraId="14D57E8B" w14:textId="77777777" w:rsidR="00787BF7" w:rsidRDefault="00787BF7">
      <w:pPr>
        <w:pBdr>
          <w:top w:val="nil"/>
          <w:left w:val="nil"/>
          <w:bottom w:val="nil"/>
          <w:right w:val="nil"/>
          <w:between w:val="nil"/>
        </w:pBdr>
        <w:spacing w:after="0" w:line="360" w:lineRule="auto"/>
        <w:jc w:val="both"/>
        <w:rPr>
          <w:rFonts w:ascii="Arial" w:eastAsia="Arial" w:hAnsi="Arial" w:cs="Arial"/>
          <w:sz w:val="24"/>
          <w:szCs w:val="24"/>
        </w:rPr>
      </w:pPr>
    </w:p>
    <w:p w14:paraId="5D644581"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Os serviços de emergências hospitalares (SEH), são de utilização como as principais portas de entrada sobre o sistema público ou até mesmo privado da saúde, sendo que o número vem crescendo mundialmente (SACOMAN </w:t>
      </w:r>
      <w:r>
        <w:rPr>
          <w:rFonts w:ascii="Arial" w:eastAsia="Arial" w:hAnsi="Arial" w:cs="Arial"/>
          <w:i/>
          <w:sz w:val="24"/>
          <w:szCs w:val="24"/>
        </w:rPr>
        <w:t>et al.</w:t>
      </w:r>
      <w:r>
        <w:rPr>
          <w:rFonts w:ascii="Arial" w:eastAsia="Arial" w:hAnsi="Arial" w:cs="Arial"/>
          <w:sz w:val="24"/>
          <w:szCs w:val="24"/>
        </w:rPr>
        <w:t>, 2019).</w:t>
      </w:r>
    </w:p>
    <w:p w14:paraId="6ACB553E"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Os militares usaram triades para apoiar a guerra, Jean Dominique Larrey, cirurgião do exército napoleônico durante a Revolução Francesa, é creditado por desenvolver um método de avaliação e identificação rápida de soldados feridos, isolando aqueles que precisam de atenção médica urgente e priorizando o tratamento para ajudá-los a se recuperar o mais rápido possível. O mais longe possível campo de batalha </w:t>
      </w:r>
      <w:r>
        <w:rPr>
          <w:rFonts w:ascii="Arial" w:eastAsia="Arial" w:hAnsi="Arial" w:cs="Arial"/>
          <w:color w:val="222222"/>
          <w:sz w:val="24"/>
          <w:szCs w:val="24"/>
        </w:rPr>
        <w:t xml:space="preserve">(COUTINHO </w:t>
      </w:r>
      <w:r>
        <w:rPr>
          <w:rFonts w:ascii="Arial" w:eastAsia="Arial" w:hAnsi="Arial" w:cs="Arial"/>
          <w:i/>
          <w:color w:val="222222"/>
          <w:sz w:val="24"/>
          <w:szCs w:val="24"/>
        </w:rPr>
        <w:t>et al.</w:t>
      </w:r>
      <w:r>
        <w:rPr>
          <w:rFonts w:ascii="Arial" w:eastAsia="Arial" w:hAnsi="Arial" w:cs="Arial"/>
          <w:color w:val="222222"/>
          <w:sz w:val="24"/>
          <w:szCs w:val="24"/>
        </w:rPr>
        <w:t>, 2012).</w:t>
      </w:r>
    </w:p>
    <w:p w14:paraId="159218EC"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Desde então, esse processo aperfeiçoou-se, ao longo dos anos. Contudo, sempre esteve relacionado às guerras ou às grandes catástrofes, não sendo aplicado à população civil até meados da década de 1960. A partir daí, quando se notabilizou nos Estados Unidos crescente processo de mudança da prática médica, com reflexos na procura pelos serviços de urgência. Essa situação levou a necessidade de classificar os doentes e determinar aqueles que necessitavam de cuidado imediato </w:t>
      </w:r>
      <w:r>
        <w:rPr>
          <w:rFonts w:ascii="Arial" w:eastAsia="Arial" w:hAnsi="Arial" w:cs="Arial"/>
          <w:color w:val="222222"/>
          <w:sz w:val="24"/>
          <w:szCs w:val="24"/>
        </w:rPr>
        <w:t xml:space="preserve">(COUTINHO </w:t>
      </w:r>
      <w:r>
        <w:rPr>
          <w:rFonts w:ascii="Arial" w:eastAsia="Arial" w:hAnsi="Arial" w:cs="Arial"/>
          <w:i/>
          <w:color w:val="222222"/>
          <w:sz w:val="24"/>
          <w:szCs w:val="24"/>
        </w:rPr>
        <w:t>et al.</w:t>
      </w:r>
      <w:r>
        <w:rPr>
          <w:rFonts w:ascii="Arial" w:eastAsia="Arial" w:hAnsi="Arial" w:cs="Arial"/>
          <w:color w:val="222222"/>
          <w:sz w:val="24"/>
          <w:szCs w:val="24"/>
        </w:rPr>
        <w:t>, 2012)</w:t>
      </w:r>
    </w:p>
    <w:p w14:paraId="20D2D0B5"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Segundo Camargo Neto </w:t>
      </w:r>
      <w:r>
        <w:rPr>
          <w:rFonts w:ascii="Arial" w:eastAsia="Arial" w:hAnsi="Arial" w:cs="Arial"/>
          <w:i/>
          <w:sz w:val="24"/>
          <w:szCs w:val="24"/>
        </w:rPr>
        <w:t>et al.</w:t>
      </w:r>
      <w:r>
        <w:rPr>
          <w:rFonts w:ascii="Arial" w:eastAsia="Arial" w:hAnsi="Arial" w:cs="Arial"/>
          <w:sz w:val="24"/>
          <w:szCs w:val="24"/>
        </w:rPr>
        <w:t xml:space="preserve"> (2018):</w:t>
      </w:r>
    </w:p>
    <w:p w14:paraId="529D615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AACC356" w14:textId="77777777" w:rsidR="00787BF7" w:rsidRDefault="00000000">
      <w:pPr>
        <w:pBdr>
          <w:top w:val="nil"/>
          <w:left w:val="nil"/>
          <w:bottom w:val="nil"/>
          <w:right w:val="nil"/>
          <w:between w:val="nil"/>
        </w:pBdr>
        <w:spacing w:after="0" w:line="240" w:lineRule="auto"/>
        <w:ind w:left="2268"/>
        <w:jc w:val="both"/>
        <w:rPr>
          <w:rFonts w:ascii="Arial" w:eastAsia="Arial" w:hAnsi="Arial" w:cs="Arial"/>
          <w:sz w:val="20"/>
          <w:szCs w:val="20"/>
        </w:rPr>
      </w:pPr>
      <w:r>
        <w:rPr>
          <w:rFonts w:ascii="Arial" w:eastAsia="Arial" w:hAnsi="Arial" w:cs="Arial"/>
          <w:sz w:val="20"/>
          <w:szCs w:val="20"/>
        </w:rPr>
        <w:t xml:space="preserve">Existem inúmeras escalas para proporcionar qualidade aos atendimentos, como; MTS – Manchester Triage System (Reino Unido), tem como intuito cálculos e cores, associando por tempo de espera. NTS – </w:t>
      </w:r>
      <w:r>
        <w:rPr>
          <w:rFonts w:ascii="Arial" w:eastAsia="Arial" w:hAnsi="Arial" w:cs="Arial"/>
          <w:i/>
          <w:sz w:val="20"/>
          <w:szCs w:val="20"/>
        </w:rPr>
        <w:t>National Triage Scale</w:t>
      </w:r>
      <w:r>
        <w:rPr>
          <w:rFonts w:ascii="Arial" w:eastAsia="Arial" w:hAnsi="Arial" w:cs="Arial"/>
          <w:sz w:val="20"/>
          <w:szCs w:val="20"/>
        </w:rPr>
        <w:t xml:space="preserve"> (Austrália), associada a agravo dos casos e tempo de espera. CTAS – </w:t>
      </w:r>
      <w:r>
        <w:rPr>
          <w:rFonts w:ascii="Arial" w:eastAsia="Arial" w:hAnsi="Arial" w:cs="Arial"/>
          <w:i/>
          <w:sz w:val="20"/>
          <w:szCs w:val="20"/>
        </w:rPr>
        <w:t>Canadian Emergency Department Triage</w:t>
      </w:r>
      <w:r>
        <w:rPr>
          <w:rFonts w:ascii="Arial" w:eastAsia="Arial" w:hAnsi="Arial" w:cs="Arial"/>
          <w:sz w:val="20"/>
          <w:szCs w:val="20"/>
        </w:rPr>
        <w:t xml:space="preserve"> e </w:t>
      </w:r>
      <w:r>
        <w:rPr>
          <w:rFonts w:ascii="Arial" w:eastAsia="Arial" w:hAnsi="Arial" w:cs="Arial"/>
          <w:i/>
          <w:sz w:val="20"/>
          <w:szCs w:val="20"/>
        </w:rPr>
        <w:t>Acuity Scale</w:t>
      </w:r>
      <w:r>
        <w:rPr>
          <w:rFonts w:ascii="Arial" w:eastAsia="Arial" w:hAnsi="Arial" w:cs="Arial"/>
          <w:sz w:val="20"/>
          <w:szCs w:val="20"/>
        </w:rPr>
        <w:t xml:space="preserve"> (Canadá), parecido com o sistema australiano, porém abstruso. ESI – </w:t>
      </w:r>
      <w:r>
        <w:rPr>
          <w:rFonts w:ascii="Arial" w:eastAsia="Arial" w:hAnsi="Arial" w:cs="Arial"/>
          <w:i/>
          <w:sz w:val="20"/>
          <w:szCs w:val="20"/>
        </w:rPr>
        <w:t>Emergency Severity Index</w:t>
      </w:r>
      <w:r>
        <w:rPr>
          <w:rFonts w:ascii="Arial" w:eastAsia="Arial" w:hAnsi="Arial" w:cs="Arial"/>
          <w:sz w:val="20"/>
          <w:szCs w:val="20"/>
        </w:rPr>
        <w:t xml:space="preserve"> (Estados Unidos), usado como um único cálculo, mas voltado para o atendimento. MAT – </w:t>
      </w:r>
      <w:r>
        <w:rPr>
          <w:rFonts w:ascii="Arial" w:eastAsia="Arial" w:hAnsi="Arial" w:cs="Arial"/>
          <w:i/>
          <w:sz w:val="20"/>
          <w:szCs w:val="20"/>
        </w:rPr>
        <w:t>Model Andorrà Del Trialge</w:t>
      </w:r>
      <w:r>
        <w:rPr>
          <w:rFonts w:ascii="Arial" w:eastAsia="Arial" w:hAnsi="Arial" w:cs="Arial"/>
          <w:sz w:val="20"/>
          <w:szCs w:val="20"/>
        </w:rPr>
        <w:t xml:space="preserve"> (Modelo de Andorra), demanda de mais tempo, se faz também por algoritmos e enfoque nos sintomas.</w:t>
      </w:r>
    </w:p>
    <w:p w14:paraId="50CEADE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3F36EAF"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Foi em 1994, que o sistema de Triagem de Manchester, foi instituído na Inglaterra, com intuito de beneficiar a classificação das urgências nas unidades de pronto atendimento, e ganhando força como mais conveniente no Brasil. Sendo regulado pelo Grupo Brasileiro de Classificação de Risco - GBCR - formado por enfermeiros e médicos (CHABUDÉ; CÉZAR; SANTANA, 2019)</w:t>
      </w:r>
    </w:p>
    <w:p w14:paraId="4CEA06A4"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No Brasil, o primeiro protocolo de classificação de risco desenvolvido pelo Ministério da Saúde em 2004 foi uma cartilha de boas-vindas sobre avaliação e classificação de risco, parte integrante do programa nacional de humanização, e foi implantado em vários hospitais brasileiros (CAMARGO NETO </w:t>
      </w:r>
      <w:r>
        <w:rPr>
          <w:rFonts w:ascii="Arial" w:eastAsia="Arial" w:hAnsi="Arial" w:cs="Arial"/>
          <w:i/>
          <w:sz w:val="24"/>
          <w:szCs w:val="24"/>
        </w:rPr>
        <w:t>et al</w:t>
      </w:r>
      <w:r>
        <w:rPr>
          <w:rFonts w:ascii="Arial" w:eastAsia="Arial" w:hAnsi="Arial" w:cs="Arial"/>
          <w:sz w:val="24"/>
          <w:szCs w:val="24"/>
        </w:rPr>
        <w:t>., 2018)</w:t>
      </w:r>
    </w:p>
    <w:p w14:paraId="490D9DF7"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Com a demanda sendo expandida, tornou-se necessário obter um sistema em que se pudesse agilizar o atendimento aos usuários. No Brasil, é realizado com base no protocolo adotado pela instituição de saúde sendo o PROTOCOLO DE MANCHESTER, que consiste na classificação de risco por cores, no que apresenta sinais e sintomas, bem como nível de consciência e dor e identificando quando necessitado de atendimento imediato a menor risco. ( NUNES, et al 2017)</w:t>
      </w:r>
    </w:p>
    <w:p w14:paraId="2A71E526"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Assim, em 2004, o Ministério da Saúde do Brasil produziu uma cartilha que trazia novas técnicas para dar suporte aos problemas de ambulância e serviços de emergência por meio da internação e classificação de risco, apresentando a internação como uma ferramenta que deve estar presente no cotidiano, escuta competente e capacidade de resposta do serviço, que deve ser conformada em competência de produção de saúde, completando o que não pode ser atendido de certa forma, imediatamente, mas pode ser verificado. E a técnica de avaliação com classificação de risco, que deve seguir a perspectiva do protocolo dado, de acordo com o nível de complexidade do usuário, não por ordem de chegada (CAMARGO NETO </w:t>
      </w:r>
      <w:r>
        <w:rPr>
          <w:rFonts w:ascii="Arial" w:eastAsia="Arial" w:hAnsi="Arial" w:cs="Arial"/>
          <w:i/>
          <w:sz w:val="24"/>
          <w:szCs w:val="24"/>
        </w:rPr>
        <w:t>et al.</w:t>
      </w:r>
      <w:r>
        <w:rPr>
          <w:rFonts w:ascii="Arial" w:eastAsia="Arial" w:hAnsi="Arial" w:cs="Arial"/>
          <w:sz w:val="24"/>
          <w:szCs w:val="24"/>
        </w:rPr>
        <w:t xml:space="preserve"> 2018).</w:t>
      </w:r>
    </w:p>
    <w:p w14:paraId="6E70A32A"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De acordo com Bramatti, Ferreira e Lima </w:t>
      </w:r>
      <w:r>
        <w:rPr>
          <w:rFonts w:ascii="Arial" w:eastAsia="Arial" w:hAnsi="Arial" w:cs="Arial"/>
          <w:i/>
          <w:sz w:val="24"/>
          <w:szCs w:val="24"/>
        </w:rPr>
        <w:t>et al.</w:t>
      </w:r>
      <w:r>
        <w:rPr>
          <w:rFonts w:ascii="Arial" w:eastAsia="Arial" w:hAnsi="Arial" w:cs="Arial"/>
          <w:sz w:val="24"/>
          <w:szCs w:val="24"/>
        </w:rPr>
        <w:t xml:space="preserve"> (2021), a escala de Manchester, tem como parte importante a avaliação de dor, mesmo sendo de difícil visibilidade em alguns casos, sendo identificado através de expressões do paciente, mas podendo questionar ao paciente numerar sua escala de dor, sendo de zero sem dor e o dez muita dor.</w:t>
      </w:r>
    </w:p>
    <w:p w14:paraId="7230839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A34D8C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86C0DB2" w14:textId="77777777" w:rsidR="00787BF7" w:rsidRDefault="00000000">
      <w:pPr>
        <w:pStyle w:val="Ttulo2"/>
      </w:pPr>
      <w:bookmarkStart w:id="11" w:name="_heading=h.3rdcrjn" w:colFirst="0" w:colLast="0"/>
      <w:bookmarkEnd w:id="11"/>
      <w:r>
        <w:t xml:space="preserve">2.6 ESCUTA QUALIFICADA PELO ENFERMEIRO FRENTE AO ATENDIMENTO </w:t>
      </w:r>
      <w:r>
        <w:rPr>
          <w:color w:val="111111"/>
        </w:rPr>
        <w:t>IMEDIATO</w:t>
      </w:r>
    </w:p>
    <w:p w14:paraId="14565E9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077F3DD"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Os critérios de uso da classificação de risco em âmbito profissional, se qualifica ao atendimento humanizado aos usuários, porém a falta de informação que a população tem sobre o atendimento prestado, é o que acarreta a grande demanda de atendimento e causando assim a superlotação nas unidades de pronto atendimento.</w:t>
      </w:r>
    </w:p>
    <w:p w14:paraId="24D34EC9"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Segundo o Ministério da saúde, entrou como destaque a Política Nacional de Humanização (PNH), que tem como intuito apresentar estratégias para melhoria do acesso aos usuários do serviço de saúde (CESAR, 2021).</w:t>
      </w:r>
    </w:p>
    <w:p w14:paraId="59824544"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Segundo César (2021, p. 3)</w:t>
      </w:r>
    </w:p>
    <w:p w14:paraId="75A8302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04BF19A" w14:textId="77777777" w:rsidR="00787BF7" w:rsidRDefault="00000000">
      <w:pPr>
        <w:pBdr>
          <w:top w:val="nil"/>
          <w:left w:val="nil"/>
          <w:bottom w:val="nil"/>
          <w:right w:val="nil"/>
          <w:between w:val="nil"/>
        </w:pBdr>
        <w:spacing w:after="0" w:line="240" w:lineRule="auto"/>
        <w:ind w:left="2268"/>
        <w:jc w:val="both"/>
        <w:rPr>
          <w:rFonts w:ascii="Arial" w:eastAsia="Arial" w:hAnsi="Arial" w:cs="Arial"/>
          <w:sz w:val="20"/>
          <w:szCs w:val="20"/>
        </w:rPr>
      </w:pPr>
      <w:r>
        <w:rPr>
          <w:rFonts w:ascii="Arial" w:eastAsia="Arial" w:hAnsi="Arial" w:cs="Arial"/>
          <w:sz w:val="20"/>
          <w:szCs w:val="20"/>
        </w:rPr>
        <w:t>Os critérios de inclusão foram: possuir 18 anos ou mais e classificados como verde no protocolo de Manchester, por critério de tempo de espera (até 120 min) e pelo fato desses pacientes possuírem uma clínica com caráter de pouca urgência.</w:t>
      </w:r>
    </w:p>
    <w:p w14:paraId="0C808C05"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 que que se torna visível, é quanto essa população se faz de conhecimento sobre o assunto. E de que forma o protocolo supracitado se deve levar de conhecimento aos usuários e a equipe que realiza esse atendimento.</w:t>
      </w:r>
    </w:p>
    <w:p w14:paraId="3A8864F2"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Porém os enfermeiros enfrentam também algumas dificuldades ao atuarem na classificação de risco, que muitas vezes não são geradas dentro das unidades de urgência e emergências e sim nas unidades básicas de saúde, pois a falta de referência e contra referência são as principais dificuldades, destacando também os pacientes que buscam as emergências orientadas pelas unidades básicas de saúde por problemas que podiam ser resolvidos no próprio local (CANTO, 2016).</w:t>
      </w:r>
    </w:p>
    <w:p w14:paraId="1D957C8C"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AD7B82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0C0EAA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3F75991" w14:textId="77777777" w:rsidR="00787BF7" w:rsidRDefault="00000000">
      <w:pPr>
        <w:pStyle w:val="Ttulo2"/>
      </w:pPr>
      <w:bookmarkStart w:id="12" w:name="_heading=h.26in1rg" w:colFirst="0" w:colLast="0"/>
      <w:bookmarkEnd w:id="12"/>
      <w:r>
        <w:t>2.7 DESAFIOS ENCONTRADOS PELO PROFISSIONAL DA SAÚDE FRENTE AO PROTOCOLO</w:t>
      </w:r>
    </w:p>
    <w:p w14:paraId="5333F96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BF3A336"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 profissional precisa estar qualificado para atender a demanda que chega até a unidade de pronto atendimento, com conhecimento e busca ativa através de protocolos já existentes. (NUNES, et al 2017)</w:t>
      </w:r>
    </w:p>
    <w:p w14:paraId="1CC90A56"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Segundo Campos </w:t>
      </w:r>
      <w:r>
        <w:rPr>
          <w:rFonts w:ascii="Arial" w:eastAsia="Arial" w:hAnsi="Arial" w:cs="Arial"/>
          <w:i/>
          <w:sz w:val="24"/>
          <w:szCs w:val="24"/>
        </w:rPr>
        <w:t>et al.</w:t>
      </w:r>
      <w:r>
        <w:rPr>
          <w:rFonts w:ascii="Arial" w:eastAsia="Arial" w:hAnsi="Arial" w:cs="Arial"/>
          <w:sz w:val="24"/>
          <w:szCs w:val="24"/>
        </w:rPr>
        <w:t xml:space="preserve"> (2020):</w:t>
      </w:r>
    </w:p>
    <w:p w14:paraId="679E562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05C69B1" w14:textId="77777777" w:rsidR="00787BF7" w:rsidRDefault="00000000">
      <w:pPr>
        <w:pBdr>
          <w:top w:val="nil"/>
          <w:left w:val="nil"/>
          <w:bottom w:val="nil"/>
          <w:right w:val="nil"/>
          <w:between w:val="nil"/>
        </w:pBdr>
        <w:spacing w:after="0" w:line="240" w:lineRule="auto"/>
        <w:ind w:left="2268"/>
        <w:jc w:val="both"/>
        <w:rPr>
          <w:rFonts w:ascii="Arial" w:eastAsia="Arial" w:hAnsi="Arial" w:cs="Arial"/>
          <w:sz w:val="20"/>
          <w:szCs w:val="20"/>
        </w:rPr>
      </w:pPr>
      <w:r>
        <w:rPr>
          <w:rFonts w:ascii="Arial" w:eastAsia="Arial" w:hAnsi="Arial" w:cs="Arial"/>
          <w:sz w:val="20"/>
          <w:szCs w:val="20"/>
        </w:rPr>
        <w:t>O acolhimento com classificação de risco (ACCR) deve ser aplicado por equipe multiprofissional, entretanto é o enfermeiro o profissional da equipe indicado para a avaliação do quadro clínico do usuário, pois apresenta habilidades de comunicação e avaliação, associadas ao conhecimento dos princípios ético-legais e técnico-científicos que regem a profissão.</w:t>
      </w:r>
    </w:p>
    <w:p w14:paraId="344F7C6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86336E1"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O enfermeiro tem como intuito estar à frente de todas e quaisquer responsabilidades que demande de sua equipe, bem como sua unidade de como gestor. Visto que seguindo a classificação de risco, além da experiência e padronização ao atendimento com ampliação da qualidade dos serviços de enfermagem, e o gerenciamento adequado a unidade de saúde (CAMARGO NETO </w:t>
      </w:r>
      <w:r>
        <w:rPr>
          <w:rFonts w:ascii="Arial" w:eastAsia="Arial" w:hAnsi="Arial" w:cs="Arial"/>
          <w:i/>
          <w:sz w:val="24"/>
          <w:szCs w:val="24"/>
        </w:rPr>
        <w:t>et al.</w:t>
      </w:r>
      <w:r>
        <w:rPr>
          <w:rFonts w:ascii="Arial" w:eastAsia="Arial" w:hAnsi="Arial" w:cs="Arial"/>
          <w:sz w:val="24"/>
          <w:szCs w:val="24"/>
        </w:rPr>
        <w:t>, 2018).</w:t>
      </w:r>
    </w:p>
    <w:p w14:paraId="413D44EF"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A classificação de risco é, portanto, entendida como uma função complexa que depende das habilidades e conhecimentos dos cuidadores e das relações e interações interpessoais (HERMIDA </w:t>
      </w:r>
      <w:r>
        <w:rPr>
          <w:rFonts w:ascii="Arial" w:eastAsia="Arial" w:hAnsi="Arial" w:cs="Arial"/>
          <w:i/>
          <w:sz w:val="24"/>
          <w:szCs w:val="24"/>
        </w:rPr>
        <w:t>et al.</w:t>
      </w:r>
      <w:r>
        <w:rPr>
          <w:rFonts w:ascii="Arial" w:eastAsia="Arial" w:hAnsi="Arial" w:cs="Arial"/>
          <w:sz w:val="24"/>
          <w:szCs w:val="24"/>
        </w:rPr>
        <w:t>, 2018).</w:t>
      </w:r>
    </w:p>
    <w:p w14:paraId="668A4D94"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Segundo o autor supracitado, a experiência de trabalho é considerada pelos enfermeiros da UPA como um pré-requisito importante para atuar como classificador, juntamente com outras habilidades, embora não seja necessário para essa função.</w:t>
      </w:r>
    </w:p>
    <w:p w14:paraId="62CF0EEA"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Por fim, a eficácia do trabalho do enfermeiro cria um ambiente de trabalho mais descontraído para os demais funcionários; para o usuário, a calma da prioridade baseada no conhecimento científico e a atenção humana característica da profissão (PRUDÊNCIO; CERETTA; SORATTO, 2016).</w:t>
      </w:r>
    </w:p>
    <w:p w14:paraId="3C7C134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EFC76B0" w14:textId="77777777" w:rsidR="00787BF7" w:rsidRDefault="00000000">
      <w:pPr>
        <w:pStyle w:val="Ttulo2"/>
      </w:pPr>
      <w:bookmarkStart w:id="13" w:name="_heading=h.lnxbz9" w:colFirst="0" w:colLast="0"/>
      <w:bookmarkEnd w:id="13"/>
      <w:r>
        <w:t>2.8 EXPOSIÇÃO DO TEMA</w:t>
      </w:r>
    </w:p>
    <w:p w14:paraId="36622D5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F72D9CB" w14:textId="77777777" w:rsidR="00787BF7" w:rsidRDefault="00000000">
      <w:pPr>
        <w:pStyle w:val="Ttulo5"/>
      </w:pPr>
      <w:bookmarkStart w:id="14" w:name="_heading=h.35nkun2" w:colFirst="0" w:colLast="0"/>
      <w:bookmarkEnd w:id="14"/>
      <w:r>
        <w:t>Figura 1 – Classificação de Risco - Protocolo Manchester.</w:t>
      </w:r>
    </w:p>
    <w:p w14:paraId="241A2381" w14:textId="77777777" w:rsidR="00787BF7" w:rsidRDefault="00787BF7">
      <w:pPr>
        <w:pBdr>
          <w:top w:val="nil"/>
          <w:left w:val="nil"/>
          <w:bottom w:val="nil"/>
          <w:right w:val="nil"/>
          <w:between w:val="nil"/>
        </w:pBdr>
        <w:spacing w:after="0" w:line="240" w:lineRule="auto"/>
        <w:rPr>
          <w:rFonts w:ascii="Arial" w:eastAsia="Arial" w:hAnsi="Arial" w:cs="Arial"/>
          <w:sz w:val="20"/>
          <w:szCs w:val="20"/>
        </w:rPr>
      </w:pPr>
    </w:p>
    <w:p w14:paraId="19D0CEED" w14:textId="77777777" w:rsidR="00787BF7" w:rsidRDefault="00787BF7">
      <w:pPr>
        <w:pBdr>
          <w:top w:val="nil"/>
          <w:left w:val="nil"/>
          <w:bottom w:val="nil"/>
          <w:right w:val="nil"/>
          <w:between w:val="nil"/>
        </w:pBdr>
        <w:spacing w:after="0" w:line="240" w:lineRule="auto"/>
        <w:rPr>
          <w:rFonts w:ascii="Arial" w:eastAsia="Arial" w:hAnsi="Arial" w:cs="Arial"/>
          <w:sz w:val="20"/>
          <w:szCs w:val="20"/>
        </w:rPr>
      </w:pPr>
    </w:p>
    <w:p w14:paraId="7A9F2360" w14:textId="77777777" w:rsidR="00787BF7" w:rsidRDefault="00787BF7">
      <w:pPr>
        <w:pBdr>
          <w:top w:val="nil"/>
          <w:left w:val="nil"/>
          <w:bottom w:val="nil"/>
          <w:right w:val="nil"/>
          <w:between w:val="nil"/>
        </w:pBdr>
        <w:spacing w:after="0" w:line="240" w:lineRule="auto"/>
        <w:rPr>
          <w:rFonts w:ascii="Arial" w:eastAsia="Arial" w:hAnsi="Arial" w:cs="Arial"/>
          <w:sz w:val="20"/>
          <w:szCs w:val="20"/>
        </w:rPr>
      </w:pPr>
    </w:p>
    <w:tbl>
      <w:tblPr>
        <w:tblStyle w:val="a"/>
        <w:tblW w:w="9072"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24"/>
        <w:gridCol w:w="3024"/>
        <w:gridCol w:w="3024"/>
      </w:tblGrid>
      <w:tr w:rsidR="00787BF7" w14:paraId="63731A8C" w14:textId="77777777">
        <w:trPr>
          <w:trHeight w:val="400"/>
        </w:trPr>
        <w:tc>
          <w:tcPr>
            <w:tcW w:w="9072" w:type="dxa"/>
            <w:gridSpan w:val="3"/>
            <w:shd w:val="clear" w:color="auto" w:fill="auto"/>
            <w:tcMar>
              <w:top w:w="100" w:type="dxa"/>
              <w:left w:w="100" w:type="dxa"/>
              <w:bottom w:w="100" w:type="dxa"/>
              <w:right w:w="100" w:type="dxa"/>
            </w:tcMar>
          </w:tcPr>
          <w:p w14:paraId="461D0C71" w14:textId="77777777" w:rsidR="00787BF7" w:rsidRDefault="00000000">
            <w:pPr>
              <w:widowControl w:val="0"/>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 xml:space="preserve">CLASSIFICAÇÃO DE RISCO </w:t>
            </w:r>
          </w:p>
        </w:tc>
      </w:tr>
      <w:tr w:rsidR="00787BF7" w14:paraId="10EA04BE" w14:textId="77777777">
        <w:tc>
          <w:tcPr>
            <w:tcW w:w="3024" w:type="dxa"/>
            <w:shd w:val="clear" w:color="auto" w:fill="auto"/>
            <w:tcMar>
              <w:top w:w="100" w:type="dxa"/>
              <w:left w:w="100" w:type="dxa"/>
              <w:bottom w:w="100" w:type="dxa"/>
              <w:right w:w="100" w:type="dxa"/>
            </w:tcMar>
          </w:tcPr>
          <w:p w14:paraId="51CE6259" w14:textId="77777777" w:rsidR="00787BF7" w:rsidRDefault="00000000">
            <w:pPr>
              <w:widowControl w:val="0"/>
              <w:pBdr>
                <w:top w:val="nil"/>
                <w:left w:val="nil"/>
                <w:bottom w:val="nil"/>
                <w:right w:val="nil"/>
                <w:between w:val="nil"/>
              </w:pBdr>
              <w:spacing w:after="0" w:line="240" w:lineRule="auto"/>
              <w:rPr>
                <w:rFonts w:ascii="Arial" w:eastAsia="Arial" w:hAnsi="Arial" w:cs="Arial"/>
                <w:b/>
                <w:color w:val="FF0000"/>
                <w:sz w:val="20"/>
                <w:szCs w:val="20"/>
              </w:rPr>
            </w:pPr>
            <w:r>
              <w:rPr>
                <w:rFonts w:ascii="Arial" w:eastAsia="Arial" w:hAnsi="Arial" w:cs="Arial"/>
                <w:b/>
                <w:color w:val="FF0000"/>
                <w:sz w:val="20"/>
                <w:szCs w:val="20"/>
              </w:rPr>
              <w:t>PRIORIDADE ZERO</w:t>
            </w:r>
          </w:p>
          <w:p w14:paraId="759FC2FA" w14:textId="77777777" w:rsidR="00787BF7" w:rsidRDefault="00000000">
            <w:pPr>
              <w:widowControl w:val="0"/>
              <w:pBdr>
                <w:top w:val="nil"/>
                <w:left w:val="nil"/>
                <w:bottom w:val="nil"/>
                <w:right w:val="nil"/>
                <w:between w:val="nil"/>
              </w:pBdr>
              <w:spacing w:after="0" w:line="240" w:lineRule="auto"/>
              <w:rPr>
                <w:rFonts w:ascii="Arial" w:eastAsia="Arial" w:hAnsi="Arial" w:cs="Arial"/>
                <w:b/>
                <w:color w:val="FF0000"/>
                <w:sz w:val="20"/>
                <w:szCs w:val="20"/>
              </w:rPr>
            </w:pPr>
            <w:r>
              <w:rPr>
                <w:rFonts w:ascii="Arial" w:eastAsia="Arial" w:hAnsi="Arial" w:cs="Arial"/>
                <w:b/>
                <w:color w:val="FF0000"/>
                <w:sz w:val="20"/>
                <w:szCs w:val="20"/>
              </w:rPr>
              <w:t>(VERMELHO)</w:t>
            </w:r>
          </w:p>
        </w:tc>
        <w:tc>
          <w:tcPr>
            <w:tcW w:w="3024" w:type="dxa"/>
            <w:shd w:val="clear" w:color="auto" w:fill="auto"/>
            <w:tcMar>
              <w:top w:w="100" w:type="dxa"/>
              <w:left w:w="100" w:type="dxa"/>
              <w:bottom w:w="100" w:type="dxa"/>
              <w:right w:w="100" w:type="dxa"/>
            </w:tcMar>
          </w:tcPr>
          <w:p w14:paraId="0D07D813" w14:textId="77777777" w:rsidR="00787BF7" w:rsidRDefault="00000000">
            <w:pPr>
              <w:widowControl w:val="0"/>
              <w:pBdr>
                <w:top w:val="nil"/>
                <w:left w:val="nil"/>
                <w:bottom w:val="nil"/>
                <w:right w:val="nil"/>
                <w:between w:val="nil"/>
              </w:pBdr>
              <w:spacing w:after="0" w:line="240" w:lineRule="auto"/>
              <w:rPr>
                <w:rFonts w:ascii="Arial" w:eastAsia="Arial" w:hAnsi="Arial" w:cs="Arial"/>
                <w:b/>
                <w:sz w:val="20"/>
                <w:szCs w:val="20"/>
              </w:rPr>
            </w:pPr>
            <w:r>
              <w:rPr>
                <w:rFonts w:ascii="Arial" w:eastAsia="Arial" w:hAnsi="Arial" w:cs="Arial"/>
                <w:b/>
                <w:sz w:val="20"/>
                <w:szCs w:val="20"/>
              </w:rPr>
              <w:t>EMERGÊNCIA MAIOR.</w:t>
            </w:r>
          </w:p>
          <w:p w14:paraId="00F91012" w14:textId="77777777" w:rsidR="00787BF7" w:rsidRDefault="00000000">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ENCAMINHA DIRETO PARA EMERGÊNCIA.</w:t>
            </w:r>
          </w:p>
        </w:tc>
        <w:tc>
          <w:tcPr>
            <w:tcW w:w="3024" w:type="dxa"/>
            <w:shd w:val="clear" w:color="auto" w:fill="auto"/>
            <w:tcMar>
              <w:top w:w="100" w:type="dxa"/>
              <w:left w:w="100" w:type="dxa"/>
              <w:bottom w:w="100" w:type="dxa"/>
              <w:right w:w="100" w:type="dxa"/>
            </w:tcMar>
          </w:tcPr>
          <w:p w14:paraId="6DEA3ABC" w14:textId="77777777" w:rsidR="00787BF7" w:rsidRDefault="00000000">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 COM SINAL SONORO)</w:t>
            </w:r>
          </w:p>
          <w:p w14:paraId="4DDC20FA" w14:textId="77777777" w:rsidR="00787BF7" w:rsidRDefault="00000000">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Assistência de Enfermagem Continua.</w:t>
            </w:r>
          </w:p>
        </w:tc>
      </w:tr>
      <w:tr w:rsidR="00787BF7" w14:paraId="77075258" w14:textId="77777777">
        <w:tc>
          <w:tcPr>
            <w:tcW w:w="3024" w:type="dxa"/>
            <w:shd w:val="clear" w:color="auto" w:fill="auto"/>
            <w:tcMar>
              <w:top w:w="100" w:type="dxa"/>
              <w:left w:w="100" w:type="dxa"/>
              <w:bottom w:w="100" w:type="dxa"/>
              <w:right w:w="100" w:type="dxa"/>
            </w:tcMar>
          </w:tcPr>
          <w:p w14:paraId="7CC4B267" w14:textId="77777777" w:rsidR="00787BF7" w:rsidRDefault="00000000">
            <w:pPr>
              <w:widowControl w:val="0"/>
              <w:pBdr>
                <w:top w:val="nil"/>
                <w:left w:val="nil"/>
                <w:bottom w:val="nil"/>
                <w:right w:val="nil"/>
                <w:between w:val="nil"/>
              </w:pBdr>
              <w:spacing w:after="0" w:line="240" w:lineRule="auto"/>
              <w:rPr>
                <w:rFonts w:ascii="Arial" w:eastAsia="Arial" w:hAnsi="Arial" w:cs="Arial"/>
                <w:b/>
                <w:color w:val="FF9900"/>
                <w:sz w:val="20"/>
                <w:szCs w:val="20"/>
              </w:rPr>
            </w:pPr>
            <w:r>
              <w:rPr>
                <w:rFonts w:ascii="Arial" w:eastAsia="Arial" w:hAnsi="Arial" w:cs="Arial"/>
                <w:b/>
                <w:color w:val="FF9900"/>
                <w:sz w:val="20"/>
                <w:szCs w:val="20"/>
              </w:rPr>
              <w:t>PRIORIDADE I</w:t>
            </w:r>
          </w:p>
          <w:p w14:paraId="20FD2144" w14:textId="77777777" w:rsidR="00787BF7" w:rsidRDefault="00000000">
            <w:pPr>
              <w:widowControl w:val="0"/>
              <w:pBdr>
                <w:top w:val="nil"/>
                <w:left w:val="nil"/>
                <w:bottom w:val="nil"/>
                <w:right w:val="nil"/>
                <w:between w:val="nil"/>
              </w:pBdr>
              <w:spacing w:after="0" w:line="240" w:lineRule="auto"/>
              <w:rPr>
                <w:rFonts w:ascii="Arial" w:eastAsia="Arial" w:hAnsi="Arial" w:cs="Arial"/>
                <w:b/>
                <w:color w:val="FF9900"/>
                <w:sz w:val="20"/>
                <w:szCs w:val="20"/>
              </w:rPr>
            </w:pPr>
            <w:r>
              <w:rPr>
                <w:rFonts w:ascii="Arial" w:eastAsia="Arial" w:hAnsi="Arial" w:cs="Arial"/>
                <w:b/>
                <w:color w:val="FF9900"/>
                <w:sz w:val="20"/>
                <w:szCs w:val="20"/>
              </w:rPr>
              <w:t xml:space="preserve">(LARANJA) </w:t>
            </w:r>
          </w:p>
        </w:tc>
        <w:tc>
          <w:tcPr>
            <w:tcW w:w="3024" w:type="dxa"/>
            <w:shd w:val="clear" w:color="auto" w:fill="auto"/>
            <w:tcMar>
              <w:top w:w="100" w:type="dxa"/>
              <w:left w:w="100" w:type="dxa"/>
              <w:bottom w:w="100" w:type="dxa"/>
              <w:right w:w="100" w:type="dxa"/>
            </w:tcMar>
          </w:tcPr>
          <w:p w14:paraId="29F1ED52" w14:textId="77777777" w:rsidR="00787BF7" w:rsidRDefault="00000000">
            <w:pPr>
              <w:widowControl w:val="0"/>
              <w:pBdr>
                <w:top w:val="nil"/>
                <w:left w:val="nil"/>
                <w:bottom w:val="nil"/>
                <w:right w:val="nil"/>
                <w:between w:val="nil"/>
              </w:pBdr>
              <w:spacing w:after="0" w:line="240" w:lineRule="auto"/>
              <w:rPr>
                <w:rFonts w:ascii="Arial" w:eastAsia="Arial" w:hAnsi="Arial" w:cs="Arial"/>
                <w:b/>
                <w:sz w:val="20"/>
                <w:szCs w:val="20"/>
              </w:rPr>
            </w:pPr>
            <w:r>
              <w:rPr>
                <w:rFonts w:ascii="Arial" w:eastAsia="Arial" w:hAnsi="Arial" w:cs="Arial"/>
                <w:b/>
                <w:sz w:val="20"/>
                <w:szCs w:val="20"/>
              </w:rPr>
              <w:t>MUITO URGENTE.</w:t>
            </w:r>
          </w:p>
          <w:p w14:paraId="412A1E6F" w14:textId="77777777" w:rsidR="00787BF7" w:rsidRDefault="00000000">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 xml:space="preserve">Encaminhar para consulta médica com alta prioridade. </w:t>
            </w:r>
          </w:p>
        </w:tc>
        <w:tc>
          <w:tcPr>
            <w:tcW w:w="3024" w:type="dxa"/>
            <w:shd w:val="clear" w:color="auto" w:fill="auto"/>
            <w:tcMar>
              <w:top w:w="100" w:type="dxa"/>
              <w:left w:w="100" w:type="dxa"/>
              <w:bottom w:w="100" w:type="dxa"/>
              <w:right w:w="100" w:type="dxa"/>
            </w:tcMar>
          </w:tcPr>
          <w:p w14:paraId="07DE5248" w14:textId="77777777" w:rsidR="00787BF7" w:rsidRDefault="00000000">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Atendimento médico em até 15 minutos. Reavaliação da enfermagem periodicamente.</w:t>
            </w:r>
          </w:p>
        </w:tc>
      </w:tr>
      <w:tr w:rsidR="00787BF7" w14:paraId="4F6B24B9" w14:textId="77777777">
        <w:tc>
          <w:tcPr>
            <w:tcW w:w="3024" w:type="dxa"/>
            <w:shd w:val="clear" w:color="auto" w:fill="auto"/>
            <w:tcMar>
              <w:top w:w="100" w:type="dxa"/>
              <w:left w:w="100" w:type="dxa"/>
              <w:bottom w:w="100" w:type="dxa"/>
              <w:right w:w="100" w:type="dxa"/>
            </w:tcMar>
          </w:tcPr>
          <w:p w14:paraId="6EEEF107" w14:textId="77777777" w:rsidR="00787BF7" w:rsidRDefault="00000000">
            <w:pPr>
              <w:widowControl w:val="0"/>
              <w:pBdr>
                <w:top w:val="nil"/>
                <w:left w:val="nil"/>
                <w:bottom w:val="nil"/>
                <w:right w:val="nil"/>
                <w:between w:val="nil"/>
              </w:pBdr>
              <w:spacing w:after="0" w:line="240" w:lineRule="auto"/>
              <w:rPr>
                <w:rFonts w:ascii="Arial" w:eastAsia="Arial" w:hAnsi="Arial" w:cs="Arial"/>
                <w:b/>
                <w:color w:val="FFFF00"/>
                <w:sz w:val="20"/>
                <w:szCs w:val="20"/>
              </w:rPr>
            </w:pPr>
            <w:r>
              <w:rPr>
                <w:rFonts w:ascii="Arial" w:eastAsia="Arial" w:hAnsi="Arial" w:cs="Arial"/>
                <w:b/>
                <w:color w:val="FFFF00"/>
                <w:sz w:val="20"/>
                <w:szCs w:val="20"/>
              </w:rPr>
              <w:t>PRIORIDADE II</w:t>
            </w:r>
          </w:p>
          <w:p w14:paraId="5FA18B82" w14:textId="77777777" w:rsidR="00787BF7" w:rsidRDefault="00000000">
            <w:pPr>
              <w:widowControl w:val="0"/>
              <w:pBdr>
                <w:top w:val="nil"/>
                <w:left w:val="nil"/>
                <w:bottom w:val="nil"/>
                <w:right w:val="nil"/>
                <w:between w:val="nil"/>
              </w:pBdr>
              <w:spacing w:after="0" w:line="240" w:lineRule="auto"/>
              <w:rPr>
                <w:rFonts w:ascii="Arial" w:eastAsia="Arial" w:hAnsi="Arial" w:cs="Arial"/>
                <w:b/>
                <w:color w:val="FFFF00"/>
                <w:sz w:val="20"/>
                <w:szCs w:val="20"/>
              </w:rPr>
            </w:pPr>
            <w:r>
              <w:rPr>
                <w:rFonts w:ascii="Arial" w:eastAsia="Arial" w:hAnsi="Arial" w:cs="Arial"/>
                <w:b/>
                <w:color w:val="FFFF00"/>
                <w:sz w:val="20"/>
                <w:szCs w:val="20"/>
              </w:rPr>
              <w:t>(AMARELO)</w:t>
            </w:r>
          </w:p>
        </w:tc>
        <w:tc>
          <w:tcPr>
            <w:tcW w:w="3024" w:type="dxa"/>
            <w:shd w:val="clear" w:color="auto" w:fill="auto"/>
            <w:tcMar>
              <w:top w:w="100" w:type="dxa"/>
              <w:left w:w="100" w:type="dxa"/>
              <w:bottom w:w="100" w:type="dxa"/>
              <w:right w:w="100" w:type="dxa"/>
            </w:tcMar>
          </w:tcPr>
          <w:p w14:paraId="5371DEB4" w14:textId="77777777" w:rsidR="00787BF7" w:rsidRDefault="00000000">
            <w:pPr>
              <w:widowControl w:val="0"/>
              <w:pBdr>
                <w:top w:val="nil"/>
                <w:left w:val="nil"/>
                <w:bottom w:val="nil"/>
                <w:right w:val="nil"/>
                <w:between w:val="nil"/>
              </w:pBdr>
              <w:spacing w:after="0" w:line="240" w:lineRule="auto"/>
              <w:rPr>
                <w:rFonts w:ascii="Arial" w:eastAsia="Arial" w:hAnsi="Arial" w:cs="Arial"/>
                <w:b/>
                <w:sz w:val="20"/>
                <w:szCs w:val="20"/>
              </w:rPr>
            </w:pPr>
            <w:r>
              <w:rPr>
                <w:rFonts w:ascii="Arial" w:eastAsia="Arial" w:hAnsi="Arial" w:cs="Arial"/>
                <w:b/>
                <w:sz w:val="20"/>
                <w:szCs w:val="20"/>
              </w:rPr>
              <w:t>URGENTE.</w:t>
            </w:r>
          </w:p>
          <w:p w14:paraId="52798F7C" w14:textId="77777777" w:rsidR="00787BF7" w:rsidRDefault="00000000">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Necessitam de atendimento rápido, mas podem aguardar.</w:t>
            </w:r>
          </w:p>
        </w:tc>
        <w:tc>
          <w:tcPr>
            <w:tcW w:w="3024" w:type="dxa"/>
            <w:shd w:val="clear" w:color="auto" w:fill="auto"/>
            <w:tcMar>
              <w:top w:w="100" w:type="dxa"/>
              <w:left w:w="100" w:type="dxa"/>
              <w:bottom w:w="100" w:type="dxa"/>
              <w:right w:w="100" w:type="dxa"/>
            </w:tcMar>
          </w:tcPr>
          <w:p w14:paraId="1C8257B3" w14:textId="77777777" w:rsidR="00787BF7" w:rsidRDefault="00000000">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Atendimento médico em até 1hora. Reavaliação da enfermagem periodicamente.</w:t>
            </w:r>
          </w:p>
        </w:tc>
      </w:tr>
      <w:tr w:rsidR="00787BF7" w14:paraId="5903647C" w14:textId="77777777">
        <w:tc>
          <w:tcPr>
            <w:tcW w:w="3024" w:type="dxa"/>
            <w:shd w:val="clear" w:color="auto" w:fill="auto"/>
            <w:tcMar>
              <w:top w:w="100" w:type="dxa"/>
              <w:left w:w="100" w:type="dxa"/>
              <w:bottom w:w="100" w:type="dxa"/>
              <w:right w:w="100" w:type="dxa"/>
            </w:tcMar>
          </w:tcPr>
          <w:p w14:paraId="5C6CBDF9" w14:textId="77777777" w:rsidR="00787BF7" w:rsidRDefault="00000000">
            <w:pPr>
              <w:widowControl w:val="0"/>
              <w:pBdr>
                <w:top w:val="nil"/>
                <w:left w:val="nil"/>
                <w:bottom w:val="nil"/>
                <w:right w:val="nil"/>
                <w:between w:val="nil"/>
              </w:pBdr>
              <w:spacing w:after="0" w:line="240" w:lineRule="auto"/>
              <w:rPr>
                <w:rFonts w:ascii="Arial" w:eastAsia="Arial" w:hAnsi="Arial" w:cs="Arial"/>
                <w:b/>
                <w:color w:val="6AA84F"/>
                <w:sz w:val="20"/>
                <w:szCs w:val="20"/>
              </w:rPr>
            </w:pPr>
            <w:r>
              <w:rPr>
                <w:rFonts w:ascii="Arial" w:eastAsia="Arial" w:hAnsi="Arial" w:cs="Arial"/>
                <w:b/>
                <w:color w:val="6AA84F"/>
                <w:sz w:val="20"/>
                <w:szCs w:val="20"/>
              </w:rPr>
              <w:t>PRIORIDADE III</w:t>
            </w:r>
          </w:p>
          <w:p w14:paraId="52C0E175" w14:textId="77777777" w:rsidR="00787BF7" w:rsidRDefault="00000000">
            <w:pPr>
              <w:widowControl w:val="0"/>
              <w:pBdr>
                <w:top w:val="nil"/>
                <w:left w:val="nil"/>
                <w:bottom w:val="nil"/>
                <w:right w:val="nil"/>
                <w:between w:val="nil"/>
              </w:pBdr>
              <w:spacing w:after="0" w:line="240" w:lineRule="auto"/>
              <w:rPr>
                <w:rFonts w:ascii="Arial" w:eastAsia="Arial" w:hAnsi="Arial" w:cs="Arial"/>
                <w:b/>
                <w:color w:val="6AA84F"/>
                <w:sz w:val="20"/>
                <w:szCs w:val="20"/>
              </w:rPr>
            </w:pPr>
            <w:r>
              <w:rPr>
                <w:rFonts w:ascii="Arial" w:eastAsia="Arial" w:hAnsi="Arial" w:cs="Arial"/>
                <w:b/>
                <w:color w:val="6AA84F"/>
                <w:sz w:val="20"/>
                <w:szCs w:val="20"/>
              </w:rPr>
              <w:t>(VERDE)</w:t>
            </w:r>
          </w:p>
        </w:tc>
        <w:tc>
          <w:tcPr>
            <w:tcW w:w="3024" w:type="dxa"/>
            <w:shd w:val="clear" w:color="auto" w:fill="auto"/>
            <w:tcMar>
              <w:top w:w="100" w:type="dxa"/>
              <w:left w:w="100" w:type="dxa"/>
              <w:bottom w:w="100" w:type="dxa"/>
              <w:right w:w="100" w:type="dxa"/>
            </w:tcMar>
          </w:tcPr>
          <w:p w14:paraId="4C9623D7" w14:textId="77777777" w:rsidR="00787BF7" w:rsidRDefault="00000000">
            <w:pPr>
              <w:widowControl w:val="0"/>
              <w:pBdr>
                <w:top w:val="nil"/>
                <w:left w:val="nil"/>
                <w:bottom w:val="nil"/>
                <w:right w:val="nil"/>
                <w:between w:val="nil"/>
              </w:pBdr>
              <w:spacing w:after="0" w:line="240" w:lineRule="auto"/>
              <w:rPr>
                <w:rFonts w:ascii="Arial" w:eastAsia="Arial" w:hAnsi="Arial" w:cs="Arial"/>
                <w:b/>
                <w:sz w:val="20"/>
                <w:szCs w:val="20"/>
              </w:rPr>
            </w:pPr>
            <w:r>
              <w:rPr>
                <w:rFonts w:ascii="Arial" w:eastAsia="Arial" w:hAnsi="Arial" w:cs="Arial"/>
                <w:b/>
                <w:sz w:val="20"/>
                <w:szCs w:val="20"/>
              </w:rPr>
              <w:t>POUCO URGENTE.</w:t>
            </w:r>
          </w:p>
          <w:p w14:paraId="36E9BCE2" w14:textId="77777777" w:rsidR="00787BF7" w:rsidRDefault="00000000">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 xml:space="preserve">Podem aguardar o atendimento, ou serem encaminhados para outros serviços de saúde. </w:t>
            </w:r>
          </w:p>
        </w:tc>
        <w:tc>
          <w:tcPr>
            <w:tcW w:w="3024" w:type="dxa"/>
            <w:shd w:val="clear" w:color="auto" w:fill="auto"/>
            <w:tcMar>
              <w:top w:w="100" w:type="dxa"/>
              <w:left w:w="100" w:type="dxa"/>
              <w:bottom w:w="100" w:type="dxa"/>
              <w:right w:w="100" w:type="dxa"/>
            </w:tcMar>
          </w:tcPr>
          <w:p w14:paraId="3FFFF268" w14:textId="77777777" w:rsidR="00787BF7" w:rsidRDefault="00000000">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 xml:space="preserve">Atendimento em até 2 horas. Reavaliação da enfermagem periodicamente. </w:t>
            </w:r>
          </w:p>
        </w:tc>
      </w:tr>
      <w:tr w:rsidR="00787BF7" w14:paraId="0781390A" w14:textId="77777777">
        <w:tc>
          <w:tcPr>
            <w:tcW w:w="3024" w:type="dxa"/>
            <w:shd w:val="clear" w:color="auto" w:fill="auto"/>
            <w:tcMar>
              <w:top w:w="100" w:type="dxa"/>
              <w:left w:w="100" w:type="dxa"/>
              <w:bottom w:w="100" w:type="dxa"/>
              <w:right w:w="100" w:type="dxa"/>
            </w:tcMar>
          </w:tcPr>
          <w:p w14:paraId="7232C7AE" w14:textId="77777777" w:rsidR="00787BF7" w:rsidRDefault="00000000">
            <w:pPr>
              <w:widowControl w:val="0"/>
              <w:pBdr>
                <w:top w:val="nil"/>
                <w:left w:val="nil"/>
                <w:bottom w:val="nil"/>
                <w:right w:val="nil"/>
                <w:between w:val="nil"/>
              </w:pBdr>
              <w:spacing w:after="0" w:line="240" w:lineRule="auto"/>
              <w:rPr>
                <w:rFonts w:ascii="Arial" w:eastAsia="Arial" w:hAnsi="Arial" w:cs="Arial"/>
                <w:b/>
                <w:color w:val="0000FF"/>
                <w:sz w:val="20"/>
                <w:szCs w:val="20"/>
              </w:rPr>
            </w:pPr>
            <w:r>
              <w:rPr>
                <w:rFonts w:ascii="Arial" w:eastAsia="Arial" w:hAnsi="Arial" w:cs="Arial"/>
                <w:b/>
                <w:color w:val="0000FF"/>
                <w:sz w:val="20"/>
                <w:szCs w:val="20"/>
              </w:rPr>
              <w:t>PRIORIDADE IV</w:t>
            </w:r>
          </w:p>
          <w:p w14:paraId="212347DD" w14:textId="77777777" w:rsidR="00787BF7" w:rsidRDefault="00000000">
            <w:pPr>
              <w:widowControl w:val="0"/>
              <w:pBdr>
                <w:top w:val="nil"/>
                <w:left w:val="nil"/>
                <w:bottom w:val="nil"/>
                <w:right w:val="nil"/>
                <w:between w:val="nil"/>
              </w:pBdr>
              <w:spacing w:after="0" w:line="240" w:lineRule="auto"/>
              <w:rPr>
                <w:rFonts w:ascii="Arial" w:eastAsia="Arial" w:hAnsi="Arial" w:cs="Arial"/>
                <w:b/>
                <w:color w:val="0000FF"/>
                <w:sz w:val="20"/>
                <w:szCs w:val="20"/>
              </w:rPr>
            </w:pPr>
            <w:r>
              <w:rPr>
                <w:rFonts w:ascii="Arial" w:eastAsia="Arial" w:hAnsi="Arial" w:cs="Arial"/>
                <w:b/>
                <w:color w:val="0000FF"/>
                <w:sz w:val="20"/>
                <w:szCs w:val="20"/>
              </w:rPr>
              <w:t xml:space="preserve">(AZUL) </w:t>
            </w:r>
          </w:p>
        </w:tc>
        <w:tc>
          <w:tcPr>
            <w:tcW w:w="3024" w:type="dxa"/>
            <w:shd w:val="clear" w:color="auto" w:fill="auto"/>
            <w:tcMar>
              <w:top w:w="100" w:type="dxa"/>
              <w:left w:w="100" w:type="dxa"/>
              <w:bottom w:w="100" w:type="dxa"/>
              <w:right w:w="100" w:type="dxa"/>
            </w:tcMar>
          </w:tcPr>
          <w:p w14:paraId="6188A141" w14:textId="77777777" w:rsidR="00787BF7" w:rsidRDefault="00000000">
            <w:pPr>
              <w:widowControl w:val="0"/>
              <w:pBdr>
                <w:top w:val="nil"/>
                <w:left w:val="nil"/>
                <w:bottom w:val="nil"/>
                <w:right w:val="nil"/>
                <w:between w:val="nil"/>
              </w:pBdr>
              <w:spacing w:after="0" w:line="240" w:lineRule="auto"/>
              <w:rPr>
                <w:rFonts w:ascii="Arial" w:eastAsia="Arial" w:hAnsi="Arial" w:cs="Arial"/>
                <w:b/>
                <w:sz w:val="20"/>
                <w:szCs w:val="20"/>
              </w:rPr>
            </w:pPr>
            <w:r>
              <w:rPr>
                <w:rFonts w:ascii="Arial" w:eastAsia="Arial" w:hAnsi="Arial" w:cs="Arial"/>
                <w:b/>
                <w:sz w:val="20"/>
                <w:szCs w:val="20"/>
              </w:rPr>
              <w:t>NÃO URGENTE.</w:t>
            </w:r>
          </w:p>
          <w:p w14:paraId="519F2EC0" w14:textId="77777777" w:rsidR="00787BF7" w:rsidRDefault="00000000">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 xml:space="preserve">Podem aguardar o atendimento, ou serem encaminhados para outros serviços de saúde. </w:t>
            </w:r>
          </w:p>
          <w:p w14:paraId="62D16A6B" w14:textId="77777777" w:rsidR="00787BF7" w:rsidRDefault="00787BF7">
            <w:pPr>
              <w:widowControl w:val="0"/>
              <w:pBdr>
                <w:top w:val="nil"/>
                <w:left w:val="nil"/>
                <w:bottom w:val="nil"/>
                <w:right w:val="nil"/>
                <w:between w:val="nil"/>
              </w:pBdr>
              <w:spacing w:after="0" w:line="240" w:lineRule="auto"/>
              <w:rPr>
                <w:rFonts w:ascii="Arial" w:eastAsia="Arial" w:hAnsi="Arial" w:cs="Arial"/>
                <w:b/>
                <w:sz w:val="20"/>
                <w:szCs w:val="20"/>
              </w:rPr>
            </w:pPr>
          </w:p>
        </w:tc>
        <w:tc>
          <w:tcPr>
            <w:tcW w:w="3024" w:type="dxa"/>
            <w:shd w:val="clear" w:color="auto" w:fill="auto"/>
            <w:tcMar>
              <w:top w:w="100" w:type="dxa"/>
              <w:left w:w="100" w:type="dxa"/>
              <w:bottom w:w="100" w:type="dxa"/>
              <w:right w:w="100" w:type="dxa"/>
            </w:tcMar>
          </w:tcPr>
          <w:p w14:paraId="16EC6F94" w14:textId="77777777" w:rsidR="00787BF7" w:rsidRDefault="00000000">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Atendimento médico no mesmo dia ou agendamento. Reavaliação da enfermagem periodicamente.</w:t>
            </w:r>
          </w:p>
        </w:tc>
      </w:tr>
    </w:tbl>
    <w:p w14:paraId="0375F7EC"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 xml:space="preserve">FONTE: Cadernos Humaniza SUS, vol 3 Brasília-DF 2011 </w:t>
      </w:r>
    </w:p>
    <w:p w14:paraId="5FB4D08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6B1BDCA"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 Protocolo de Manchester é uma ferramenta de estratificação de risco muito útil e necessária para avaliar o risco e a vulnerabilidade de todos os pacientes que chegam ao departamento de emergência (BRASIL, 2009).</w:t>
      </w:r>
    </w:p>
    <w:p w14:paraId="5BCABEEE"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Sua composição é baseada no perfil de cada serviço e contexto introduzido na rede de atenção à saúde, facilitando a interação entre as equipes multiprofissionais e vista como uma oportunidade de avaliação dos assalariados da emergência. Nesse sentido, cabe destacar que o Ministério da saúde preconiza que os protocolos sejam semelhantes nos serviços da mesma região, procurando assim promover o mapeamento e a construção das redes locais de saúde (BRASIL, 2009).</w:t>
      </w:r>
    </w:p>
    <w:p w14:paraId="0C0B946B"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Dentre os protocolos existentes no mundo pode se citar quatro: </w:t>
      </w:r>
      <w:r>
        <w:rPr>
          <w:rFonts w:ascii="Arial" w:eastAsia="Arial" w:hAnsi="Arial" w:cs="Arial"/>
          <w:i/>
          <w:sz w:val="24"/>
          <w:szCs w:val="24"/>
        </w:rPr>
        <w:t>Emergency severity Index</w:t>
      </w:r>
      <w:r>
        <w:rPr>
          <w:rFonts w:ascii="Arial" w:eastAsia="Arial" w:hAnsi="Arial" w:cs="Arial"/>
          <w:sz w:val="24"/>
          <w:szCs w:val="24"/>
        </w:rPr>
        <w:t xml:space="preserve"> (ESI) mais conhecido como escala norte americana, </w:t>
      </w:r>
      <w:r>
        <w:rPr>
          <w:rFonts w:ascii="Arial" w:eastAsia="Arial" w:hAnsi="Arial" w:cs="Arial"/>
          <w:i/>
          <w:sz w:val="24"/>
          <w:szCs w:val="24"/>
        </w:rPr>
        <w:t>Australasian Triage Escale</w:t>
      </w:r>
      <w:r>
        <w:rPr>
          <w:rFonts w:ascii="Arial" w:eastAsia="Arial" w:hAnsi="Arial" w:cs="Arial"/>
          <w:sz w:val="24"/>
          <w:szCs w:val="24"/>
        </w:rPr>
        <w:t xml:space="preserve"> (ATS) – escala Australiana, </w:t>
      </w:r>
      <w:r>
        <w:rPr>
          <w:rFonts w:ascii="Arial" w:eastAsia="Arial" w:hAnsi="Arial" w:cs="Arial"/>
          <w:i/>
          <w:sz w:val="24"/>
          <w:szCs w:val="24"/>
        </w:rPr>
        <w:t>Canadian Triagen Acuity Scale</w:t>
      </w:r>
      <w:r>
        <w:rPr>
          <w:rFonts w:ascii="Arial" w:eastAsia="Arial" w:hAnsi="Arial" w:cs="Arial"/>
          <w:sz w:val="24"/>
          <w:szCs w:val="24"/>
        </w:rPr>
        <w:t xml:space="preserve"> (CTAS)-protocolo canadense e o mais conhecido aqui no Brasil Manchester Triage System que é o protocolo inglês mais conhecido como protocolo de Manchester (SOUZA </w:t>
      </w:r>
      <w:r>
        <w:rPr>
          <w:rFonts w:ascii="Arial" w:eastAsia="Arial" w:hAnsi="Arial" w:cs="Arial"/>
          <w:i/>
          <w:sz w:val="24"/>
          <w:szCs w:val="24"/>
        </w:rPr>
        <w:t>et al</w:t>
      </w:r>
      <w:r>
        <w:rPr>
          <w:rFonts w:ascii="Arial" w:eastAsia="Arial" w:hAnsi="Arial" w:cs="Arial"/>
          <w:sz w:val="24"/>
          <w:szCs w:val="24"/>
        </w:rPr>
        <w:t>., 2011).</w:t>
      </w:r>
    </w:p>
    <w:p w14:paraId="33498C30"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O protocolo de Manchester recebeu esse nome porque foi criado em 1997, por um grupo de especialistas em triagem na cidade de Manchester, na Inglaterra. Consiste em fluxogramas que descrevem as queixas mais importantes dos pacientes que procuram os serviços, antes do qual o paciente é classificado em um dos cinco níveis de prioridade: vermelho, laranja, amarelo, verde e azul, após o qual recebe uma pulseira indicando a gravidade da doença, caso, confirma-se também o tempo de espera, que pode ser de 0 minutos a 240 minutos, bem como o tempo para reavaliação pelo profissional enfermeiro (SOUZA </w:t>
      </w:r>
      <w:r>
        <w:rPr>
          <w:rFonts w:ascii="Arial" w:eastAsia="Arial" w:hAnsi="Arial" w:cs="Arial"/>
          <w:i/>
          <w:sz w:val="24"/>
          <w:szCs w:val="24"/>
        </w:rPr>
        <w:t>et al.</w:t>
      </w:r>
      <w:r>
        <w:rPr>
          <w:rFonts w:ascii="Arial" w:eastAsia="Arial" w:hAnsi="Arial" w:cs="Arial"/>
          <w:sz w:val="24"/>
          <w:szCs w:val="24"/>
        </w:rPr>
        <w:t>, 2013).</w:t>
      </w:r>
    </w:p>
    <w:p w14:paraId="2793D39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D28627A" w14:textId="77777777" w:rsidR="00787BF7" w:rsidRDefault="00000000">
      <w:pPr>
        <w:pStyle w:val="Ttulo5"/>
      </w:pPr>
      <w:bookmarkStart w:id="15" w:name="_heading=h.1ksv4uv" w:colFirst="0" w:colLast="0"/>
      <w:bookmarkEnd w:id="15"/>
      <w:r>
        <w:t>Quadro 1 – Níveis de gravidade em escala de cores e tempo de atendimento, segundo o protocolo de Manchester</w:t>
      </w:r>
    </w:p>
    <w:tbl>
      <w:tblPr>
        <w:tblStyle w:val="a0"/>
        <w:tblW w:w="9062"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7"/>
        <w:gridCol w:w="1807"/>
        <w:gridCol w:w="2001"/>
        <w:gridCol w:w="3257"/>
      </w:tblGrid>
      <w:tr w:rsidR="00787BF7" w14:paraId="055885F7" w14:textId="77777777">
        <w:tc>
          <w:tcPr>
            <w:tcW w:w="1997" w:type="dxa"/>
          </w:tcPr>
          <w:p w14:paraId="4156C560" w14:textId="77777777" w:rsidR="00787BF7"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Classificação</w:t>
            </w:r>
          </w:p>
        </w:tc>
        <w:tc>
          <w:tcPr>
            <w:tcW w:w="1807" w:type="dxa"/>
          </w:tcPr>
          <w:p w14:paraId="38DED2CF" w14:textId="77777777" w:rsidR="00787BF7"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Intervenção médica</w:t>
            </w:r>
          </w:p>
        </w:tc>
        <w:tc>
          <w:tcPr>
            <w:tcW w:w="2001" w:type="dxa"/>
          </w:tcPr>
          <w:p w14:paraId="574A2E5B" w14:textId="77777777" w:rsidR="00787BF7"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Reavaliação do enfermeiro</w:t>
            </w:r>
          </w:p>
        </w:tc>
        <w:tc>
          <w:tcPr>
            <w:tcW w:w="3257" w:type="dxa"/>
          </w:tcPr>
          <w:p w14:paraId="53E14D1F" w14:textId="77777777" w:rsidR="00787BF7"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Prioridades</w:t>
            </w:r>
          </w:p>
        </w:tc>
      </w:tr>
      <w:tr w:rsidR="00787BF7" w14:paraId="560896C4" w14:textId="77777777">
        <w:tc>
          <w:tcPr>
            <w:tcW w:w="1997" w:type="dxa"/>
          </w:tcPr>
          <w:p w14:paraId="30181731"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Vermelho – Emergência</w:t>
            </w:r>
          </w:p>
        </w:tc>
        <w:tc>
          <w:tcPr>
            <w:tcW w:w="1807" w:type="dxa"/>
          </w:tcPr>
          <w:p w14:paraId="273E9110"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Intervenção médica imediata</w:t>
            </w:r>
          </w:p>
        </w:tc>
        <w:tc>
          <w:tcPr>
            <w:tcW w:w="2001" w:type="dxa"/>
          </w:tcPr>
          <w:p w14:paraId="264FD99F"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Cuidados contínuos</w:t>
            </w:r>
          </w:p>
        </w:tc>
        <w:tc>
          <w:tcPr>
            <w:tcW w:w="3257" w:type="dxa"/>
          </w:tcPr>
          <w:p w14:paraId="605C7530"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Tratamento médico imediato</w:t>
            </w:r>
          </w:p>
        </w:tc>
      </w:tr>
      <w:tr w:rsidR="00787BF7" w14:paraId="41788DB6" w14:textId="77777777">
        <w:tc>
          <w:tcPr>
            <w:tcW w:w="1997" w:type="dxa"/>
          </w:tcPr>
          <w:p w14:paraId="228CBF5C"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Laranja - Muito urgente</w:t>
            </w:r>
          </w:p>
        </w:tc>
        <w:tc>
          <w:tcPr>
            <w:tcW w:w="1807" w:type="dxa"/>
          </w:tcPr>
          <w:p w14:paraId="0C960451"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10 min</w:t>
            </w:r>
          </w:p>
        </w:tc>
        <w:tc>
          <w:tcPr>
            <w:tcW w:w="2001" w:type="dxa"/>
          </w:tcPr>
          <w:p w14:paraId="72304D5F"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Cuidados contínuos</w:t>
            </w:r>
          </w:p>
        </w:tc>
        <w:tc>
          <w:tcPr>
            <w:tcW w:w="3257" w:type="dxa"/>
          </w:tcPr>
          <w:p w14:paraId="42152D52"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Muito urgente, o paciente necessita atendimento o mais prontamente possível.</w:t>
            </w:r>
          </w:p>
        </w:tc>
      </w:tr>
      <w:tr w:rsidR="00787BF7" w14:paraId="06EF28CD" w14:textId="77777777">
        <w:tc>
          <w:tcPr>
            <w:tcW w:w="1997" w:type="dxa"/>
          </w:tcPr>
          <w:p w14:paraId="48E160AC"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Amarelo -Urgência</w:t>
            </w:r>
          </w:p>
        </w:tc>
        <w:tc>
          <w:tcPr>
            <w:tcW w:w="1807" w:type="dxa"/>
          </w:tcPr>
          <w:p w14:paraId="0946935C"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Avaliação médica &lt; 30 minutos</w:t>
            </w:r>
          </w:p>
        </w:tc>
        <w:tc>
          <w:tcPr>
            <w:tcW w:w="2001" w:type="dxa"/>
          </w:tcPr>
          <w:p w14:paraId="738FE0F9"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 cada 30 minutos</w:t>
            </w:r>
          </w:p>
        </w:tc>
        <w:tc>
          <w:tcPr>
            <w:tcW w:w="3257" w:type="dxa"/>
          </w:tcPr>
          <w:p w14:paraId="71B6A544"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Aguardam atendimento médico prioritário</w:t>
            </w:r>
          </w:p>
        </w:tc>
      </w:tr>
      <w:tr w:rsidR="00787BF7" w14:paraId="64B59B8C" w14:textId="77777777">
        <w:tc>
          <w:tcPr>
            <w:tcW w:w="1997" w:type="dxa"/>
          </w:tcPr>
          <w:p w14:paraId="1FFD0722"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Verde - Semi-urgência</w:t>
            </w:r>
          </w:p>
        </w:tc>
        <w:tc>
          <w:tcPr>
            <w:tcW w:w="1807" w:type="dxa"/>
          </w:tcPr>
          <w:p w14:paraId="490761D7"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Avaliação médica &lt; 1 hora</w:t>
            </w:r>
          </w:p>
        </w:tc>
        <w:tc>
          <w:tcPr>
            <w:tcW w:w="2001" w:type="dxa"/>
          </w:tcPr>
          <w:p w14:paraId="3B4161AD"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 cada 60 minutos</w:t>
            </w:r>
          </w:p>
        </w:tc>
        <w:tc>
          <w:tcPr>
            <w:tcW w:w="3257" w:type="dxa"/>
          </w:tcPr>
          <w:p w14:paraId="564D0B41"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Aguardam consulta com prioridade em relação ao azul</w:t>
            </w:r>
          </w:p>
        </w:tc>
      </w:tr>
      <w:tr w:rsidR="00787BF7" w14:paraId="65F7341B" w14:textId="77777777">
        <w:tc>
          <w:tcPr>
            <w:tcW w:w="1997" w:type="dxa"/>
          </w:tcPr>
          <w:p w14:paraId="261D2905"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Azul - Não urgência</w:t>
            </w:r>
          </w:p>
        </w:tc>
        <w:tc>
          <w:tcPr>
            <w:tcW w:w="1807" w:type="dxa"/>
          </w:tcPr>
          <w:p w14:paraId="47BB7284"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Avaliação médica &lt; 2 horas</w:t>
            </w:r>
          </w:p>
        </w:tc>
        <w:tc>
          <w:tcPr>
            <w:tcW w:w="2001" w:type="dxa"/>
          </w:tcPr>
          <w:p w14:paraId="7D2519A7"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 cada 2 horas</w:t>
            </w:r>
          </w:p>
        </w:tc>
        <w:tc>
          <w:tcPr>
            <w:tcW w:w="3257" w:type="dxa"/>
          </w:tcPr>
          <w:p w14:paraId="1356047F"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Atendimento por ordem de chegada</w:t>
            </w:r>
          </w:p>
        </w:tc>
      </w:tr>
    </w:tbl>
    <w:p w14:paraId="5796E3F2"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Fonte: Brasil (2009, Adaptado).</w:t>
      </w:r>
    </w:p>
    <w:p w14:paraId="52B3A99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17D9DD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B1CD30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BD803BC"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91447D9"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A150FC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509E9E7" w14:textId="77777777" w:rsidR="00787BF7" w:rsidRDefault="00000000">
      <w:pPr>
        <w:pStyle w:val="Ttulo5"/>
      </w:pPr>
      <w:bookmarkStart w:id="16" w:name="_heading=h.44sinio" w:colFirst="0" w:colLast="0"/>
      <w:bookmarkEnd w:id="16"/>
      <w:r>
        <w:t>Quadro 2 – Protocolo de Classificação de Risco, segundo a queixa e a clínica apresentada pelo usuário.</w:t>
      </w:r>
    </w:p>
    <w:tbl>
      <w:tblPr>
        <w:tblStyle w:val="a1"/>
        <w:tblW w:w="9060" w:type="dxa"/>
        <w:tblInd w:w="-111" w:type="dxa"/>
        <w:tblLayout w:type="fixed"/>
        <w:tblLook w:val="0400" w:firstRow="0" w:lastRow="0" w:firstColumn="0" w:lastColumn="0" w:noHBand="0" w:noVBand="1"/>
      </w:tblPr>
      <w:tblGrid>
        <w:gridCol w:w="4540"/>
        <w:gridCol w:w="4520"/>
      </w:tblGrid>
      <w:tr w:rsidR="00787BF7" w14:paraId="157C7273" w14:textId="77777777">
        <w:trPr>
          <w:trHeight w:val="91"/>
        </w:trPr>
        <w:tc>
          <w:tcPr>
            <w:tcW w:w="4540" w:type="dxa"/>
            <w:tcBorders>
              <w:top w:val="single" w:sz="8" w:space="0" w:color="000000"/>
              <w:left w:val="single" w:sz="8" w:space="0" w:color="000000"/>
              <w:bottom w:val="single" w:sz="8" w:space="0" w:color="000000"/>
              <w:right w:val="single" w:sz="8" w:space="0" w:color="000000"/>
            </w:tcBorders>
            <w:vAlign w:val="center"/>
          </w:tcPr>
          <w:p w14:paraId="485F22C0" w14:textId="77777777" w:rsidR="00787BF7" w:rsidRDefault="00000000">
            <w:pPr>
              <w:pBdr>
                <w:top w:val="nil"/>
                <w:left w:val="nil"/>
                <w:bottom w:val="nil"/>
                <w:right w:val="nil"/>
                <w:between w:val="nil"/>
              </w:pBdr>
              <w:spacing w:after="0" w:line="240" w:lineRule="auto"/>
              <w:jc w:val="center"/>
              <w:rPr>
                <w:rFonts w:ascii="Arial" w:eastAsia="Arial" w:hAnsi="Arial" w:cs="Arial"/>
                <w:b/>
                <w:sz w:val="18"/>
                <w:szCs w:val="18"/>
              </w:rPr>
            </w:pPr>
            <w:r>
              <w:rPr>
                <w:rFonts w:ascii="Arial" w:eastAsia="Arial" w:hAnsi="Arial" w:cs="Arial"/>
                <w:b/>
                <w:sz w:val="18"/>
                <w:szCs w:val="18"/>
              </w:rPr>
              <w:t>Cor</w:t>
            </w:r>
          </w:p>
        </w:tc>
        <w:tc>
          <w:tcPr>
            <w:tcW w:w="4520" w:type="dxa"/>
            <w:tcBorders>
              <w:top w:val="single" w:sz="8" w:space="0" w:color="000000"/>
              <w:left w:val="single" w:sz="8" w:space="0" w:color="000000"/>
              <w:bottom w:val="single" w:sz="8" w:space="0" w:color="000000"/>
              <w:right w:val="single" w:sz="8" w:space="0" w:color="000000"/>
            </w:tcBorders>
            <w:vAlign w:val="center"/>
          </w:tcPr>
          <w:p w14:paraId="04C505CE" w14:textId="77777777" w:rsidR="00787BF7" w:rsidRDefault="00000000">
            <w:pPr>
              <w:pBdr>
                <w:top w:val="nil"/>
                <w:left w:val="nil"/>
                <w:bottom w:val="nil"/>
                <w:right w:val="nil"/>
                <w:between w:val="nil"/>
              </w:pBdr>
              <w:spacing w:after="0" w:line="240" w:lineRule="auto"/>
              <w:jc w:val="center"/>
              <w:rPr>
                <w:rFonts w:ascii="Arial" w:eastAsia="Arial" w:hAnsi="Arial" w:cs="Arial"/>
                <w:b/>
                <w:sz w:val="18"/>
                <w:szCs w:val="18"/>
              </w:rPr>
            </w:pPr>
            <w:r>
              <w:rPr>
                <w:rFonts w:ascii="Arial" w:eastAsia="Arial" w:hAnsi="Arial" w:cs="Arial"/>
                <w:b/>
                <w:sz w:val="18"/>
                <w:szCs w:val="18"/>
              </w:rPr>
              <w:t>Situação/Queixa</w:t>
            </w:r>
          </w:p>
        </w:tc>
      </w:tr>
      <w:tr w:rsidR="00787BF7" w14:paraId="45EC8F7A" w14:textId="77777777">
        <w:trPr>
          <w:trHeight w:val="4970"/>
        </w:trPr>
        <w:tc>
          <w:tcPr>
            <w:tcW w:w="4540" w:type="dxa"/>
            <w:tcBorders>
              <w:top w:val="single" w:sz="8" w:space="0" w:color="000000"/>
              <w:left w:val="single" w:sz="8" w:space="0" w:color="000000"/>
              <w:right w:val="single" w:sz="8" w:space="0" w:color="000000"/>
            </w:tcBorders>
            <w:vAlign w:val="center"/>
          </w:tcPr>
          <w:p w14:paraId="623F6B9C"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Vermelho: Pacientes que deverão ser encaminhados diretamente à Sala Vermelha (emergência) devido a necessidade de atendimento imediato</w:t>
            </w:r>
          </w:p>
        </w:tc>
        <w:tc>
          <w:tcPr>
            <w:tcW w:w="4520" w:type="dxa"/>
            <w:tcBorders>
              <w:top w:val="single" w:sz="8" w:space="0" w:color="000000"/>
              <w:left w:val="single" w:sz="8" w:space="0" w:color="000000"/>
              <w:right w:val="single" w:sz="8" w:space="0" w:color="000000"/>
            </w:tcBorders>
            <w:vAlign w:val="center"/>
          </w:tcPr>
          <w:p w14:paraId="3610249A" w14:textId="77777777" w:rsidR="00787BF7" w:rsidRDefault="00000000">
            <w:pPr>
              <w:numPr>
                <w:ilvl w:val="0"/>
                <w:numId w:val="3"/>
              </w:numPr>
              <w:pBdr>
                <w:top w:val="nil"/>
                <w:left w:val="nil"/>
                <w:bottom w:val="nil"/>
                <w:right w:val="nil"/>
                <w:between w:val="nil"/>
              </w:pBdr>
              <w:spacing w:after="0" w:line="240" w:lineRule="auto"/>
              <w:ind w:left="284" w:hanging="142"/>
              <w:rPr>
                <w:rFonts w:ascii="Arial" w:eastAsia="Arial" w:hAnsi="Arial" w:cs="Arial"/>
                <w:sz w:val="18"/>
                <w:szCs w:val="18"/>
              </w:rPr>
            </w:pPr>
            <w:r>
              <w:rPr>
                <w:rFonts w:ascii="Arial" w:eastAsia="Arial" w:hAnsi="Arial" w:cs="Arial"/>
                <w:sz w:val="18"/>
                <w:szCs w:val="18"/>
              </w:rPr>
              <w:t>Politraumatizado grave – Lesão grave deum ou mais órgãos e sistemas; ECG &lt;12;</w:t>
            </w:r>
          </w:p>
          <w:p w14:paraId="2458F520" w14:textId="77777777" w:rsidR="00787BF7" w:rsidRDefault="00000000">
            <w:pPr>
              <w:numPr>
                <w:ilvl w:val="0"/>
                <w:numId w:val="3"/>
              </w:numPr>
              <w:pBdr>
                <w:top w:val="nil"/>
                <w:left w:val="nil"/>
                <w:bottom w:val="nil"/>
                <w:right w:val="nil"/>
                <w:between w:val="nil"/>
              </w:pBdr>
              <w:spacing w:after="0" w:line="240" w:lineRule="auto"/>
              <w:ind w:left="284" w:hanging="142"/>
              <w:rPr>
                <w:rFonts w:ascii="Arial" w:eastAsia="Arial" w:hAnsi="Arial" w:cs="Arial"/>
                <w:sz w:val="18"/>
                <w:szCs w:val="18"/>
              </w:rPr>
            </w:pPr>
            <w:r>
              <w:rPr>
                <w:rFonts w:ascii="Arial" w:eastAsia="Arial" w:hAnsi="Arial" w:cs="Arial"/>
                <w:sz w:val="18"/>
                <w:szCs w:val="18"/>
              </w:rPr>
              <w:t>Queimaduras com mais de 25% de área desuperfície corporal queimada ou com problemas respiratórios</w:t>
            </w:r>
          </w:p>
          <w:p w14:paraId="03C0838D" w14:textId="77777777" w:rsidR="00787BF7" w:rsidRDefault="00000000">
            <w:pPr>
              <w:numPr>
                <w:ilvl w:val="0"/>
                <w:numId w:val="3"/>
              </w:numPr>
              <w:pBdr>
                <w:top w:val="nil"/>
                <w:left w:val="nil"/>
                <w:bottom w:val="nil"/>
                <w:right w:val="nil"/>
                <w:between w:val="nil"/>
              </w:pBdr>
              <w:spacing w:after="0" w:line="240" w:lineRule="auto"/>
              <w:ind w:left="284" w:hanging="142"/>
              <w:rPr>
                <w:rFonts w:ascii="Arial" w:eastAsia="Arial" w:hAnsi="Arial" w:cs="Arial"/>
                <w:sz w:val="18"/>
                <w:szCs w:val="18"/>
              </w:rPr>
            </w:pPr>
            <w:r>
              <w:rPr>
                <w:rFonts w:ascii="Arial" w:eastAsia="Arial" w:hAnsi="Arial" w:cs="Arial"/>
                <w:sz w:val="18"/>
                <w:szCs w:val="18"/>
              </w:rPr>
              <w:t>Trauma Crânio Encefálico grave – ECG &lt;12</w:t>
            </w:r>
          </w:p>
          <w:p w14:paraId="0B83712C" w14:textId="77777777" w:rsidR="00787BF7" w:rsidRDefault="00000000">
            <w:pPr>
              <w:numPr>
                <w:ilvl w:val="0"/>
                <w:numId w:val="3"/>
              </w:numPr>
              <w:pBdr>
                <w:top w:val="nil"/>
                <w:left w:val="nil"/>
                <w:bottom w:val="nil"/>
                <w:right w:val="nil"/>
                <w:between w:val="nil"/>
              </w:pBdr>
              <w:spacing w:after="0" w:line="240" w:lineRule="auto"/>
              <w:ind w:left="284" w:hanging="142"/>
              <w:rPr>
                <w:rFonts w:ascii="Arial" w:eastAsia="Arial" w:hAnsi="Arial" w:cs="Arial"/>
                <w:sz w:val="18"/>
                <w:szCs w:val="18"/>
              </w:rPr>
            </w:pPr>
            <w:r>
              <w:rPr>
                <w:rFonts w:ascii="Arial" w:eastAsia="Arial" w:hAnsi="Arial" w:cs="Arial"/>
                <w:sz w:val="18"/>
                <w:szCs w:val="18"/>
              </w:rPr>
              <w:t>Estado mental alterado ou em coma ECG &lt;12; história de uso de drogas.</w:t>
            </w:r>
          </w:p>
          <w:p w14:paraId="4C995A42" w14:textId="77777777" w:rsidR="00787BF7" w:rsidRDefault="00000000">
            <w:pPr>
              <w:numPr>
                <w:ilvl w:val="0"/>
                <w:numId w:val="3"/>
              </w:numPr>
              <w:pBdr>
                <w:top w:val="nil"/>
                <w:left w:val="nil"/>
                <w:bottom w:val="nil"/>
                <w:right w:val="nil"/>
                <w:between w:val="nil"/>
              </w:pBdr>
              <w:spacing w:after="0" w:line="240" w:lineRule="auto"/>
              <w:ind w:left="284" w:hanging="142"/>
              <w:rPr>
                <w:rFonts w:ascii="Arial" w:eastAsia="Arial" w:hAnsi="Arial" w:cs="Arial"/>
                <w:sz w:val="18"/>
                <w:szCs w:val="18"/>
              </w:rPr>
            </w:pPr>
            <w:r>
              <w:rPr>
                <w:rFonts w:ascii="Arial" w:eastAsia="Arial" w:hAnsi="Arial" w:cs="Arial"/>
                <w:sz w:val="18"/>
                <w:szCs w:val="18"/>
              </w:rPr>
              <w:t>Comprometimentos da Coluna Vertebral.</w:t>
            </w:r>
          </w:p>
          <w:p w14:paraId="32287570" w14:textId="77777777" w:rsidR="00787BF7" w:rsidRDefault="00000000">
            <w:pPr>
              <w:numPr>
                <w:ilvl w:val="0"/>
                <w:numId w:val="3"/>
              </w:numPr>
              <w:pBdr>
                <w:top w:val="nil"/>
                <w:left w:val="nil"/>
                <w:bottom w:val="nil"/>
                <w:right w:val="nil"/>
                <w:between w:val="nil"/>
              </w:pBdr>
              <w:spacing w:after="0" w:line="240" w:lineRule="auto"/>
              <w:ind w:left="284" w:hanging="142"/>
              <w:rPr>
                <w:rFonts w:ascii="Arial" w:eastAsia="Arial" w:hAnsi="Arial" w:cs="Arial"/>
                <w:sz w:val="18"/>
                <w:szCs w:val="18"/>
              </w:rPr>
            </w:pPr>
            <w:r>
              <w:rPr>
                <w:rFonts w:ascii="Arial" w:eastAsia="Arial" w:hAnsi="Arial" w:cs="Arial"/>
                <w:sz w:val="18"/>
                <w:szCs w:val="18"/>
              </w:rPr>
              <w:t>Desconforto respiratório grave</w:t>
            </w:r>
          </w:p>
          <w:p w14:paraId="552E0CE6" w14:textId="77777777" w:rsidR="00787BF7" w:rsidRDefault="00000000">
            <w:pPr>
              <w:numPr>
                <w:ilvl w:val="0"/>
                <w:numId w:val="3"/>
              </w:numPr>
              <w:pBdr>
                <w:top w:val="nil"/>
                <w:left w:val="nil"/>
                <w:bottom w:val="nil"/>
                <w:right w:val="nil"/>
                <w:between w:val="nil"/>
              </w:pBdr>
              <w:spacing w:after="0" w:line="240" w:lineRule="auto"/>
              <w:ind w:left="284" w:hanging="142"/>
              <w:rPr>
                <w:rFonts w:ascii="Arial" w:eastAsia="Arial" w:hAnsi="Arial" w:cs="Arial"/>
                <w:sz w:val="18"/>
                <w:szCs w:val="18"/>
              </w:rPr>
            </w:pPr>
            <w:r>
              <w:rPr>
                <w:rFonts w:ascii="Arial" w:eastAsia="Arial" w:hAnsi="Arial" w:cs="Arial"/>
                <w:sz w:val="18"/>
                <w:szCs w:val="18"/>
              </w:rPr>
              <w:t>Dor no peito associado à falta de ar ecianose (dor em aperto, facada, agulhada com irradiação para um ou ambos os membros superiores, ombro, região cervical e mandíbula, de início súbito, de forte intensidade acompanhada de sudorese, náuseas e vômitos ou queimação epigástrica, acompanhada de perda de consciência, com história anterior de IAM, angina, embolia pulmonar, aneurisma ou diabetes; qualquer dor torácica com duração superior a 30 minutos, sem melhora com repouso). Perfurações no peito, abdome e cabeça.</w:t>
            </w:r>
          </w:p>
          <w:p w14:paraId="62B1AAC5" w14:textId="77777777" w:rsidR="00787BF7" w:rsidRDefault="00000000">
            <w:pPr>
              <w:numPr>
                <w:ilvl w:val="0"/>
                <w:numId w:val="3"/>
              </w:numPr>
              <w:pBdr>
                <w:top w:val="nil"/>
                <w:left w:val="nil"/>
                <w:bottom w:val="nil"/>
                <w:right w:val="nil"/>
                <w:between w:val="nil"/>
              </w:pBdr>
              <w:spacing w:after="0" w:line="240" w:lineRule="auto"/>
              <w:ind w:left="284" w:hanging="142"/>
              <w:rPr>
                <w:rFonts w:ascii="Arial" w:eastAsia="Arial" w:hAnsi="Arial" w:cs="Arial"/>
                <w:sz w:val="18"/>
                <w:szCs w:val="18"/>
              </w:rPr>
            </w:pPr>
            <w:r>
              <w:rPr>
                <w:rFonts w:ascii="Arial" w:eastAsia="Arial" w:hAnsi="Arial" w:cs="Arial"/>
                <w:sz w:val="18"/>
                <w:szCs w:val="18"/>
              </w:rPr>
              <w:t>Crises convulsivas (inclusive pós-crise)</w:t>
            </w:r>
          </w:p>
          <w:p w14:paraId="54F131E4" w14:textId="77777777" w:rsidR="00787BF7" w:rsidRDefault="00000000">
            <w:pPr>
              <w:numPr>
                <w:ilvl w:val="0"/>
                <w:numId w:val="3"/>
              </w:numPr>
              <w:pBdr>
                <w:top w:val="nil"/>
                <w:left w:val="nil"/>
                <w:bottom w:val="nil"/>
                <w:right w:val="nil"/>
                <w:between w:val="nil"/>
              </w:pBdr>
              <w:spacing w:after="0" w:line="240" w:lineRule="auto"/>
              <w:ind w:left="284" w:hanging="142"/>
              <w:rPr>
                <w:rFonts w:ascii="Arial" w:eastAsia="Arial" w:hAnsi="Arial" w:cs="Arial"/>
                <w:sz w:val="18"/>
                <w:szCs w:val="18"/>
              </w:rPr>
            </w:pPr>
            <w:r>
              <w:rPr>
                <w:rFonts w:ascii="Arial" w:eastAsia="Arial" w:hAnsi="Arial" w:cs="Arial"/>
                <w:sz w:val="18"/>
                <w:szCs w:val="18"/>
              </w:rPr>
              <w:t>Intoxicações exógenas ou tentativas de suicídio com Glasgow abaixo de 12</w:t>
            </w:r>
          </w:p>
          <w:p w14:paraId="4413C800" w14:textId="77777777" w:rsidR="00787BF7" w:rsidRDefault="00000000">
            <w:pPr>
              <w:numPr>
                <w:ilvl w:val="0"/>
                <w:numId w:val="3"/>
              </w:numPr>
              <w:pBdr>
                <w:top w:val="nil"/>
                <w:left w:val="nil"/>
                <w:bottom w:val="nil"/>
                <w:right w:val="nil"/>
                <w:between w:val="nil"/>
              </w:pBdr>
              <w:spacing w:after="0" w:line="240" w:lineRule="auto"/>
              <w:ind w:left="284" w:hanging="142"/>
              <w:rPr>
                <w:rFonts w:ascii="Arial" w:eastAsia="Arial" w:hAnsi="Arial" w:cs="Arial"/>
                <w:sz w:val="18"/>
                <w:szCs w:val="18"/>
              </w:rPr>
            </w:pPr>
            <w:r>
              <w:rPr>
                <w:rFonts w:ascii="Arial" w:eastAsia="Arial" w:hAnsi="Arial" w:cs="Arial"/>
                <w:sz w:val="18"/>
                <w:szCs w:val="18"/>
              </w:rPr>
              <w:t>Anafilaxia ou reações alérgicas associadasa insuficiência respiratória tentativas de suicídio</w:t>
            </w:r>
          </w:p>
        </w:tc>
      </w:tr>
      <w:tr w:rsidR="00787BF7" w14:paraId="1E40FB80" w14:textId="77777777">
        <w:trPr>
          <w:trHeight w:val="5987"/>
        </w:trPr>
        <w:tc>
          <w:tcPr>
            <w:tcW w:w="4540" w:type="dxa"/>
            <w:tcBorders>
              <w:top w:val="single" w:sz="8" w:space="0" w:color="000000"/>
              <w:left w:val="single" w:sz="8" w:space="0" w:color="000000"/>
              <w:right w:val="single" w:sz="8" w:space="0" w:color="000000"/>
            </w:tcBorders>
            <w:tcMar>
              <w:top w:w="169" w:type="dxa"/>
              <w:right w:w="107" w:type="dxa"/>
            </w:tcMar>
          </w:tcPr>
          <w:p w14:paraId="1F490F3E"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Vermelho: Pacientes que deverão ser encaminhados diretamente à Sala Vermelha (emergência) devido a necessidade de atendimento imediato</w:t>
            </w:r>
          </w:p>
        </w:tc>
        <w:tc>
          <w:tcPr>
            <w:tcW w:w="4520" w:type="dxa"/>
            <w:tcBorders>
              <w:top w:val="single" w:sz="8" w:space="0" w:color="000000"/>
              <w:left w:val="single" w:sz="8" w:space="0" w:color="000000"/>
              <w:right w:val="single" w:sz="8" w:space="0" w:color="000000"/>
            </w:tcBorders>
            <w:tcMar>
              <w:top w:w="169" w:type="dxa"/>
              <w:right w:w="107" w:type="dxa"/>
            </w:tcMar>
            <w:vAlign w:val="center"/>
          </w:tcPr>
          <w:p w14:paraId="50DA81C8" w14:textId="77777777" w:rsidR="00787BF7" w:rsidRDefault="00000000">
            <w:pPr>
              <w:numPr>
                <w:ilvl w:val="0"/>
                <w:numId w:val="6"/>
              </w:numPr>
              <w:pBdr>
                <w:top w:val="nil"/>
                <w:left w:val="nil"/>
                <w:bottom w:val="nil"/>
                <w:right w:val="nil"/>
                <w:between w:val="nil"/>
              </w:pBdr>
              <w:spacing w:after="0" w:line="240" w:lineRule="auto"/>
              <w:ind w:left="276" w:hanging="142"/>
              <w:rPr>
                <w:rFonts w:ascii="Arial" w:eastAsia="Arial" w:hAnsi="Arial" w:cs="Arial"/>
                <w:sz w:val="18"/>
                <w:szCs w:val="18"/>
              </w:rPr>
            </w:pPr>
            <w:r>
              <w:rPr>
                <w:rFonts w:ascii="Arial" w:eastAsia="Arial" w:hAnsi="Arial" w:cs="Arial"/>
                <w:sz w:val="18"/>
                <w:szCs w:val="18"/>
              </w:rPr>
              <w:t>Complicações de diabetes (hipo ouhiperglicemia).</w:t>
            </w:r>
          </w:p>
          <w:p w14:paraId="69B1C1B3" w14:textId="77777777" w:rsidR="00787BF7" w:rsidRDefault="00000000">
            <w:pPr>
              <w:numPr>
                <w:ilvl w:val="0"/>
                <w:numId w:val="6"/>
              </w:numPr>
              <w:pBdr>
                <w:top w:val="nil"/>
                <w:left w:val="nil"/>
                <w:bottom w:val="nil"/>
                <w:right w:val="nil"/>
                <w:between w:val="nil"/>
              </w:pBdr>
              <w:spacing w:after="0" w:line="240" w:lineRule="auto"/>
              <w:ind w:left="276" w:hanging="142"/>
              <w:rPr>
                <w:rFonts w:ascii="Arial" w:eastAsia="Arial" w:hAnsi="Arial" w:cs="Arial"/>
                <w:sz w:val="18"/>
                <w:szCs w:val="18"/>
              </w:rPr>
            </w:pPr>
            <w:r>
              <w:rPr>
                <w:rFonts w:ascii="Arial" w:eastAsia="Arial" w:hAnsi="Arial" w:cs="Arial"/>
                <w:sz w:val="18"/>
                <w:szCs w:val="18"/>
              </w:rPr>
              <w:t>Parada cardiorrespiratória</w:t>
            </w:r>
          </w:p>
          <w:p w14:paraId="6360ED61" w14:textId="77777777" w:rsidR="00787BF7" w:rsidRDefault="00000000">
            <w:pPr>
              <w:numPr>
                <w:ilvl w:val="0"/>
                <w:numId w:val="6"/>
              </w:numPr>
              <w:pBdr>
                <w:top w:val="nil"/>
                <w:left w:val="nil"/>
                <w:bottom w:val="nil"/>
                <w:right w:val="nil"/>
                <w:between w:val="nil"/>
              </w:pBdr>
              <w:spacing w:after="0" w:line="240" w:lineRule="auto"/>
              <w:ind w:left="276" w:hanging="142"/>
              <w:rPr>
                <w:rFonts w:ascii="Arial" w:eastAsia="Arial" w:hAnsi="Arial" w:cs="Arial"/>
                <w:sz w:val="18"/>
                <w:szCs w:val="18"/>
              </w:rPr>
            </w:pPr>
            <w:r>
              <w:rPr>
                <w:rFonts w:ascii="Arial" w:eastAsia="Arial" w:hAnsi="Arial" w:cs="Arial"/>
                <w:sz w:val="18"/>
                <w:szCs w:val="18"/>
              </w:rPr>
              <w:t>Alterações de Sinais Vitais em pacientesintomático</w:t>
            </w:r>
          </w:p>
          <w:p w14:paraId="187F9E06" w14:textId="77777777" w:rsidR="00787BF7" w:rsidRDefault="00000000">
            <w:pPr>
              <w:numPr>
                <w:ilvl w:val="0"/>
                <w:numId w:val="6"/>
              </w:numPr>
              <w:pBdr>
                <w:top w:val="nil"/>
                <w:left w:val="nil"/>
                <w:bottom w:val="nil"/>
                <w:right w:val="nil"/>
                <w:between w:val="nil"/>
              </w:pBdr>
              <w:spacing w:after="0" w:line="240" w:lineRule="auto"/>
              <w:ind w:left="276" w:hanging="142"/>
              <w:rPr>
                <w:rFonts w:ascii="Arial" w:eastAsia="Arial" w:hAnsi="Arial" w:cs="Arial"/>
                <w:sz w:val="18"/>
                <w:szCs w:val="18"/>
              </w:rPr>
            </w:pPr>
            <w:r>
              <w:rPr>
                <w:rFonts w:ascii="Arial" w:eastAsia="Arial" w:hAnsi="Arial" w:cs="Arial"/>
                <w:sz w:val="18"/>
                <w:szCs w:val="18"/>
              </w:rPr>
              <w:t>Pulso &gt; 140 ou &lt; 45</w:t>
            </w:r>
          </w:p>
          <w:p w14:paraId="72DE025A" w14:textId="77777777" w:rsidR="00787BF7" w:rsidRDefault="00000000">
            <w:pPr>
              <w:numPr>
                <w:ilvl w:val="0"/>
                <w:numId w:val="6"/>
              </w:numPr>
              <w:pBdr>
                <w:top w:val="nil"/>
                <w:left w:val="nil"/>
                <w:bottom w:val="nil"/>
                <w:right w:val="nil"/>
                <w:between w:val="nil"/>
              </w:pBdr>
              <w:spacing w:after="0" w:line="240" w:lineRule="auto"/>
              <w:ind w:left="276" w:hanging="142"/>
              <w:rPr>
                <w:rFonts w:ascii="Arial" w:eastAsia="Arial" w:hAnsi="Arial" w:cs="Arial"/>
                <w:sz w:val="18"/>
                <w:szCs w:val="18"/>
              </w:rPr>
            </w:pPr>
            <w:r>
              <w:rPr>
                <w:rFonts w:ascii="Arial" w:eastAsia="Arial" w:hAnsi="Arial" w:cs="Arial"/>
                <w:sz w:val="18"/>
                <w:szCs w:val="18"/>
              </w:rPr>
              <w:t>PA diastólica &lt; 130 mmHg</w:t>
            </w:r>
          </w:p>
          <w:p w14:paraId="4A0D1D0C" w14:textId="77777777" w:rsidR="00787BF7" w:rsidRDefault="00000000">
            <w:pPr>
              <w:numPr>
                <w:ilvl w:val="0"/>
                <w:numId w:val="6"/>
              </w:numPr>
              <w:pBdr>
                <w:top w:val="nil"/>
                <w:left w:val="nil"/>
                <w:bottom w:val="nil"/>
                <w:right w:val="nil"/>
                <w:between w:val="nil"/>
              </w:pBdr>
              <w:spacing w:after="0" w:line="240" w:lineRule="auto"/>
              <w:ind w:left="276" w:hanging="142"/>
              <w:rPr>
                <w:rFonts w:ascii="Arial" w:eastAsia="Arial" w:hAnsi="Arial" w:cs="Arial"/>
                <w:sz w:val="18"/>
                <w:szCs w:val="18"/>
              </w:rPr>
            </w:pPr>
            <w:r>
              <w:rPr>
                <w:rFonts w:ascii="Arial" w:eastAsia="Arial" w:hAnsi="Arial" w:cs="Arial"/>
                <w:sz w:val="18"/>
                <w:szCs w:val="18"/>
              </w:rPr>
              <w:t>PA sistólica &lt; 80 mmHg</w:t>
            </w:r>
          </w:p>
          <w:p w14:paraId="742033FE" w14:textId="77777777" w:rsidR="00787BF7" w:rsidRDefault="00000000">
            <w:pPr>
              <w:numPr>
                <w:ilvl w:val="0"/>
                <w:numId w:val="6"/>
              </w:numPr>
              <w:pBdr>
                <w:top w:val="nil"/>
                <w:left w:val="nil"/>
                <w:bottom w:val="nil"/>
                <w:right w:val="nil"/>
                <w:between w:val="nil"/>
              </w:pBdr>
              <w:spacing w:after="0" w:line="240" w:lineRule="auto"/>
              <w:ind w:left="276" w:hanging="142"/>
              <w:rPr>
                <w:rFonts w:ascii="Arial" w:eastAsia="Arial" w:hAnsi="Arial" w:cs="Arial"/>
                <w:sz w:val="18"/>
                <w:szCs w:val="18"/>
              </w:rPr>
            </w:pPr>
            <w:r>
              <w:rPr>
                <w:rFonts w:ascii="Arial" w:eastAsia="Arial" w:hAnsi="Arial" w:cs="Arial"/>
                <w:sz w:val="18"/>
                <w:szCs w:val="18"/>
              </w:rPr>
              <w:t>FR &gt;34 ou &lt;10</w:t>
            </w:r>
          </w:p>
          <w:p w14:paraId="127780ED" w14:textId="77777777" w:rsidR="00787BF7" w:rsidRDefault="00000000">
            <w:pPr>
              <w:numPr>
                <w:ilvl w:val="0"/>
                <w:numId w:val="6"/>
              </w:numPr>
              <w:pBdr>
                <w:top w:val="nil"/>
                <w:left w:val="nil"/>
                <w:bottom w:val="nil"/>
                <w:right w:val="nil"/>
                <w:between w:val="nil"/>
              </w:pBdr>
              <w:spacing w:after="0" w:line="240" w:lineRule="auto"/>
              <w:ind w:left="276" w:hanging="142"/>
              <w:rPr>
                <w:rFonts w:ascii="Arial" w:eastAsia="Arial" w:hAnsi="Arial" w:cs="Arial"/>
                <w:sz w:val="18"/>
                <w:szCs w:val="18"/>
              </w:rPr>
            </w:pPr>
            <w:r>
              <w:rPr>
                <w:rFonts w:ascii="Arial" w:eastAsia="Arial" w:hAnsi="Arial" w:cs="Arial"/>
                <w:sz w:val="18"/>
                <w:szCs w:val="18"/>
              </w:rPr>
              <w:t>Hemorragias não controláveis</w:t>
            </w:r>
          </w:p>
          <w:p w14:paraId="0D99BC13" w14:textId="77777777" w:rsidR="00787BF7" w:rsidRDefault="00000000">
            <w:pPr>
              <w:numPr>
                <w:ilvl w:val="0"/>
                <w:numId w:val="6"/>
              </w:numPr>
              <w:pBdr>
                <w:top w:val="nil"/>
                <w:left w:val="nil"/>
                <w:bottom w:val="nil"/>
                <w:right w:val="nil"/>
                <w:between w:val="nil"/>
              </w:pBdr>
              <w:spacing w:after="0" w:line="240" w:lineRule="auto"/>
              <w:ind w:left="276" w:hanging="142"/>
              <w:rPr>
                <w:rFonts w:ascii="Arial" w:eastAsia="Arial" w:hAnsi="Arial" w:cs="Arial"/>
                <w:sz w:val="18"/>
                <w:szCs w:val="18"/>
              </w:rPr>
            </w:pPr>
            <w:r>
              <w:rPr>
                <w:rFonts w:ascii="Arial" w:eastAsia="Arial" w:hAnsi="Arial" w:cs="Arial"/>
                <w:sz w:val="18"/>
                <w:szCs w:val="18"/>
              </w:rPr>
              <w:t>Infecções graves – febre, exantemapetequial ou púrpura, alteração do nível de consciência.</w:t>
            </w:r>
          </w:p>
          <w:p w14:paraId="5DD0CC50" w14:textId="77777777" w:rsidR="00787BF7" w:rsidRDefault="00000000">
            <w:pPr>
              <w:numPr>
                <w:ilvl w:val="0"/>
                <w:numId w:val="6"/>
              </w:numPr>
              <w:pBdr>
                <w:top w:val="nil"/>
                <w:left w:val="nil"/>
                <w:bottom w:val="nil"/>
                <w:right w:val="nil"/>
                <w:between w:val="nil"/>
              </w:pBdr>
              <w:spacing w:after="0" w:line="240" w:lineRule="auto"/>
              <w:ind w:left="276" w:hanging="142"/>
              <w:rPr>
                <w:rFonts w:ascii="Arial" w:eastAsia="Arial" w:hAnsi="Arial" w:cs="Arial"/>
                <w:sz w:val="18"/>
                <w:szCs w:val="18"/>
              </w:rPr>
            </w:pPr>
            <w:r>
              <w:rPr>
                <w:rFonts w:ascii="Arial" w:eastAsia="Arial" w:hAnsi="Arial" w:cs="Arial"/>
                <w:sz w:val="18"/>
                <w:szCs w:val="18"/>
              </w:rPr>
              <w:t>Há muitas condições e sinais perigosos de alerta, chamadas Bandeiras Vermelhas, que deverão ser levados em consideração, pois podem representar condições em que o paciente poderá piorar repentinamente:</w:t>
            </w:r>
          </w:p>
          <w:p w14:paraId="2E3B07BC" w14:textId="77777777" w:rsidR="00787BF7" w:rsidRDefault="00000000">
            <w:pPr>
              <w:numPr>
                <w:ilvl w:val="0"/>
                <w:numId w:val="5"/>
              </w:numPr>
              <w:pBdr>
                <w:top w:val="nil"/>
                <w:left w:val="nil"/>
                <w:bottom w:val="nil"/>
                <w:right w:val="nil"/>
                <w:between w:val="nil"/>
              </w:pBdr>
              <w:spacing w:after="0" w:line="240" w:lineRule="auto"/>
              <w:ind w:left="418" w:hanging="142"/>
              <w:rPr>
                <w:rFonts w:ascii="Arial" w:eastAsia="Arial" w:hAnsi="Arial" w:cs="Arial"/>
                <w:sz w:val="18"/>
                <w:szCs w:val="18"/>
              </w:rPr>
            </w:pPr>
            <w:r>
              <w:rPr>
                <w:rFonts w:ascii="Arial" w:eastAsia="Arial" w:hAnsi="Arial" w:cs="Arial"/>
                <w:sz w:val="18"/>
                <w:szCs w:val="18"/>
              </w:rPr>
              <w:t xml:space="preserve">Acidentes com veículos motorizados acima de 35 Km/h Forças de desaceleração tais como quedas ou em explosões </w:t>
            </w:r>
          </w:p>
          <w:p w14:paraId="29A475A4" w14:textId="77777777" w:rsidR="00787BF7" w:rsidRDefault="00000000">
            <w:pPr>
              <w:numPr>
                <w:ilvl w:val="0"/>
                <w:numId w:val="5"/>
              </w:numPr>
              <w:pBdr>
                <w:top w:val="nil"/>
                <w:left w:val="nil"/>
                <w:bottom w:val="nil"/>
                <w:right w:val="nil"/>
                <w:between w:val="nil"/>
              </w:pBdr>
              <w:spacing w:after="0" w:line="240" w:lineRule="auto"/>
              <w:ind w:left="418" w:hanging="142"/>
              <w:rPr>
                <w:rFonts w:ascii="Arial" w:eastAsia="Arial" w:hAnsi="Arial" w:cs="Arial"/>
                <w:sz w:val="18"/>
                <w:szCs w:val="18"/>
              </w:rPr>
            </w:pPr>
            <w:r>
              <w:rPr>
                <w:rFonts w:ascii="Arial" w:eastAsia="Arial" w:hAnsi="Arial" w:cs="Arial"/>
                <w:sz w:val="18"/>
                <w:szCs w:val="18"/>
              </w:rPr>
              <w:t>Perda de consciência, mesmo que momentânea, após acidente.</w:t>
            </w:r>
          </w:p>
          <w:p w14:paraId="2541CCDA" w14:textId="77777777" w:rsidR="00787BF7" w:rsidRDefault="00000000">
            <w:pPr>
              <w:numPr>
                <w:ilvl w:val="0"/>
                <w:numId w:val="5"/>
              </w:numPr>
              <w:pBdr>
                <w:top w:val="nil"/>
                <w:left w:val="nil"/>
                <w:bottom w:val="nil"/>
                <w:right w:val="nil"/>
                <w:between w:val="nil"/>
              </w:pBdr>
              <w:spacing w:after="0" w:line="240" w:lineRule="auto"/>
              <w:ind w:left="418" w:hanging="142"/>
              <w:rPr>
                <w:rFonts w:ascii="Arial" w:eastAsia="Arial" w:hAnsi="Arial" w:cs="Arial"/>
                <w:sz w:val="18"/>
                <w:szCs w:val="18"/>
              </w:rPr>
            </w:pPr>
            <w:r>
              <w:rPr>
                <w:rFonts w:ascii="Arial" w:eastAsia="Arial" w:hAnsi="Arial" w:cs="Arial"/>
                <w:sz w:val="18"/>
                <w:szCs w:val="18"/>
              </w:rPr>
              <w:t>Negação violenta das óbvias injúrias graves com pensamentos de fugas e alterações de discurso e ocasionalmente, com respostas inapropriadas.</w:t>
            </w:r>
          </w:p>
          <w:p w14:paraId="685C8A7B" w14:textId="77777777" w:rsidR="00787BF7" w:rsidRDefault="00000000">
            <w:pPr>
              <w:numPr>
                <w:ilvl w:val="0"/>
                <w:numId w:val="4"/>
              </w:numPr>
              <w:pBdr>
                <w:top w:val="nil"/>
                <w:left w:val="nil"/>
                <w:bottom w:val="nil"/>
                <w:right w:val="nil"/>
                <w:between w:val="nil"/>
              </w:pBdr>
              <w:spacing w:after="0" w:line="240" w:lineRule="auto"/>
              <w:ind w:left="276" w:hanging="142"/>
              <w:rPr>
                <w:rFonts w:ascii="Arial" w:eastAsia="Arial" w:hAnsi="Arial" w:cs="Arial"/>
                <w:sz w:val="18"/>
                <w:szCs w:val="18"/>
              </w:rPr>
            </w:pPr>
            <w:r>
              <w:rPr>
                <w:rFonts w:ascii="Arial" w:eastAsia="Arial" w:hAnsi="Arial" w:cs="Arial"/>
                <w:sz w:val="18"/>
                <w:szCs w:val="18"/>
              </w:rPr>
              <w:t>Fraturas da 1. a e 2. a costela.</w:t>
            </w:r>
          </w:p>
          <w:p w14:paraId="41396EDE" w14:textId="77777777" w:rsidR="00787BF7" w:rsidRDefault="00000000">
            <w:pPr>
              <w:numPr>
                <w:ilvl w:val="0"/>
                <w:numId w:val="4"/>
              </w:numPr>
              <w:pBdr>
                <w:top w:val="nil"/>
                <w:left w:val="nil"/>
                <w:bottom w:val="nil"/>
                <w:right w:val="nil"/>
                <w:between w:val="nil"/>
              </w:pBdr>
              <w:spacing w:after="0" w:line="240" w:lineRule="auto"/>
              <w:ind w:left="276" w:hanging="142"/>
              <w:rPr>
                <w:rFonts w:ascii="Arial" w:eastAsia="Arial" w:hAnsi="Arial" w:cs="Arial"/>
                <w:sz w:val="18"/>
                <w:szCs w:val="18"/>
              </w:rPr>
            </w:pPr>
            <w:r>
              <w:rPr>
                <w:rFonts w:ascii="Arial" w:eastAsia="Arial" w:hAnsi="Arial" w:cs="Arial"/>
                <w:sz w:val="18"/>
                <w:szCs w:val="18"/>
              </w:rPr>
              <w:t>Fraturas 9. a, 10.a, 11a. Costela ou mais de três costelas</w:t>
            </w:r>
          </w:p>
          <w:p w14:paraId="535F20DA" w14:textId="77777777" w:rsidR="00787BF7" w:rsidRDefault="00000000">
            <w:pPr>
              <w:numPr>
                <w:ilvl w:val="0"/>
                <w:numId w:val="4"/>
              </w:numPr>
              <w:pBdr>
                <w:top w:val="nil"/>
                <w:left w:val="nil"/>
                <w:bottom w:val="nil"/>
                <w:right w:val="nil"/>
                <w:between w:val="nil"/>
              </w:pBdr>
              <w:spacing w:after="0" w:line="240" w:lineRule="auto"/>
              <w:ind w:left="276" w:hanging="142"/>
              <w:rPr>
                <w:rFonts w:ascii="Arial" w:eastAsia="Arial" w:hAnsi="Arial" w:cs="Arial"/>
                <w:sz w:val="18"/>
                <w:szCs w:val="18"/>
              </w:rPr>
            </w:pPr>
            <w:r>
              <w:rPr>
                <w:rFonts w:ascii="Arial" w:eastAsia="Arial" w:hAnsi="Arial" w:cs="Arial"/>
                <w:sz w:val="18"/>
                <w:szCs w:val="18"/>
              </w:rPr>
              <w:t>Possível aspiração</w:t>
            </w:r>
          </w:p>
          <w:p w14:paraId="037C1BBF" w14:textId="77777777" w:rsidR="00787BF7" w:rsidRDefault="00000000">
            <w:pPr>
              <w:numPr>
                <w:ilvl w:val="0"/>
                <w:numId w:val="4"/>
              </w:numPr>
              <w:pBdr>
                <w:top w:val="nil"/>
                <w:left w:val="nil"/>
                <w:bottom w:val="nil"/>
                <w:right w:val="nil"/>
                <w:between w:val="nil"/>
              </w:pBdr>
              <w:spacing w:after="0" w:line="240" w:lineRule="auto"/>
              <w:ind w:left="276" w:hanging="142"/>
              <w:rPr>
                <w:rFonts w:ascii="Arial" w:eastAsia="Arial" w:hAnsi="Arial" w:cs="Arial"/>
                <w:sz w:val="18"/>
                <w:szCs w:val="18"/>
              </w:rPr>
            </w:pPr>
            <w:r>
              <w:rPr>
                <w:rFonts w:ascii="Arial" w:eastAsia="Arial" w:hAnsi="Arial" w:cs="Arial"/>
                <w:sz w:val="18"/>
                <w:szCs w:val="18"/>
              </w:rPr>
              <w:t>Possível contusão pulmonar</w:t>
            </w:r>
          </w:p>
          <w:p w14:paraId="4B412BFA" w14:textId="77777777" w:rsidR="00787BF7" w:rsidRDefault="00000000">
            <w:pPr>
              <w:numPr>
                <w:ilvl w:val="0"/>
                <w:numId w:val="4"/>
              </w:numPr>
              <w:pBdr>
                <w:top w:val="nil"/>
                <w:left w:val="nil"/>
                <w:bottom w:val="nil"/>
                <w:right w:val="nil"/>
                <w:between w:val="nil"/>
              </w:pBdr>
              <w:spacing w:after="0" w:line="240" w:lineRule="auto"/>
              <w:ind w:left="276" w:hanging="142"/>
              <w:rPr>
                <w:rFonts w:ascii="Arial" w:eastAsia="Arial" w:hAnsi="Arial" w:cs="Arial"/>
                <w:sz w:val="18"/>
                <w:szCs w:val="18"/>
              </w:rPr>
            </w:pPr>
            <w:r>
              <w:rPr>
                <w:rFonts w:ascii="Arial" w:eastAsia="Arial" w:hAnsi="Arial" w:cs="Arial"/>
                <w:sz w:val="18"/>
                <w:szCs w:val="18"/>
              </w:rPr>
              <w:t>Óbitos no local da ocorrência</w:t>
            </w:r>
          </w:p>
        </w:tc>
      </w:tr>
      <w:tr w:rsidR="00787BF7" w14:paraId="2CA9E2F9" w14:textId="77777777">
        <w:trPr>
          <w:trHeight w:val="23"/>
        </w:trPr>
        <w:tc>
          <w:tcPr>
            <w:tcW w:w="4540" w:type="dxa"/>
            <w:tcBorders>
              <w:top w:val="single" w:sz="8" w:space="0" w:color="000000"/>
              <w:left w:val="single" w:sz="8" w:space="0" w:color="000000"/>
              <w:bottom w:val="single" w:sz="8" w:space="0" w:color="000000"/>
              <w:right w:val="single" w:sz="8" w:space="0" w:color="000000"/>
            </w:tcBorders>
            <w:tcMar>
              <w:top w:w="169" w:type="dxa"/>
            </w:tcMar>
          </w:tcPr>
          <w:p w14:paraId="3DFD23A2"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Laranja: Casos muito urgentes que precisam de um atendimento rápido.</w:t>
            </w:r>
          </w:p>
        </w:tc>
        <w:tc>
          <w:tcPr>
            <w:tcW w:w="4520" w:type="dxa"/>
            <w:tcBorders>
              <w:top w:val="single" w:sz="8" w:space="0" w:color="000000"/>
              <w:left w:val="single" w:sz="8" w:space="0" w:color="000000"/>
              <w:bottom w:val="single" w:sz="8" w:space="0" w:color="000000"/>
              <w:right w:val="single" w:sz="8" w:space="0" w:color="000000"/>
            </w:tcBorders>
            <w:tcMar>
              <w:top w:w="169" w:type="dxa"/>
            </w:tcMar>
          </w:tcPr>
          <w:p w14:paraId="334CD84B"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 Atendimento muito urgente, caracterizado por:</w:t>
            </w:r>
          </w:p>
          <w:p w14:paraId="261271F1"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 Infarto, arritmias cardíacas, grandes queimaduras, crise asmática grave, hemorragia incontrolável, entre outros.</w:t>
            </w:r>
          </w:p>
        </w:tc>
      </w:tr>
      <w:tr w:rsidR="00787BF7" w14:paraId="729DC6C7" w14:textId="77777777">
        <w:trPr>
          <w:trHeight w:val="7329"/>
        </w:trPr>
        <w:tc>
          <w:tcPr>
            <w:tcW w:w="4540" w:type="dxa"/>
            <w:tcBorders>
              <w:top w:val="single" w:sz="8" w:space="0" w:color="000000"/>
              <w:left w:val="single" w:sz="8" w:space="0" w:color="000000"/>
              <w:right w:val="single" w:sz="8" w:space="0" w:color="000000"/>
            </w:tcBorders>
            <w:tcMar>
              <w:top w:w="169" w:type="dxa"/>
            </w:tcMar>
          </w:tcPr>
          <w:p w14:paraId="0C753BAF"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Amarelo: Pacientes que necessitam de atendimento médico e de enfermagem o mais rápido possível, porém não correm riscos imediatos de vida. Deverão ser encaminhados diretamente à sala de consulta de enfermagem para classificação de risco</w:t>
            </w:r>
          </w:p>
        </w:tc>
        <w:tc>
          <w:tcPr>
            <w:tcW w:w="4520" w:type="dxa"/>
            <w:tcBorders>
              <w:top w:val="single" w:sz="8" w:space="0" w:color="000000"/>
              <w:left w:val="single" w:sz="8" w:space="0" w:color="000000"/>
              <w:right w:val="single" w:sz="8" w:space="0" w:color="000000"/>
            </w:tcBorders>
            <w:tcMar>
              <w:top w:w="169" w:type="dxa"/>
            </w:tcMar>
            <w:vAlign w:val="center"/>
          </w:tcPr>
          <w:p w14:paraId="087F5828"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 Politraumatizado com Glasgow entre 13 e 15; sem alterações de sinais vitais. Cefaleia intensa de início súbito ou rapidamente progressiva, acompanhada de sinais ou sintomas neurológicos, paraestesias, alterações do campo visual, dislalia, afasia.</w:t>
            </w:r>
          </w:p>
          <w:p w14:paraId="1865B71F"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Trauma cranioencefálico leve (ECG entre 13 e 15).</w:t>
            </w:r>
          </w:p>
          <w:p w14:paraId="112EE9C5"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 xml:space="preserve">Diminuição do nível de consciência. </w:t>
            </w:r>
          </w:p>
          <w:p w14:paraId="4FCAE54F"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Alteração aguda de comportamento – agitação, letargia ou confusão mental.</w:t>
            </w:r>
          </w:p>
          <w:p w14:paraId="35CBF120"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 xml:space="preserve"> História de Convulsão / pós ictal – convulsão nas últimas 24 horas.</w:t>
            </w:r>
          </w:p>
          <w:p w14:paraId="6BEE21E7"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Dor torácica intensa.</w:t>
            </w:r>
          </w:p>
          <w:p w14:paraId="29978D7C"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Antecedentes com problemas respiratórios, cardiovasculares e metabólicos (diabetes).</w:t>
            </w:r>
          </w:p>
          <w:p w14:paraId="361B9D8C"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Crise asmática.</w:t>
            </w:r>
          </w:p>
          <w:p w14:paraId="5C77D2FB"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Diabético apresentando – sudorese, alteração do estado mental, visão turva, febre, vômitos, taquipneia, taquicardia.</w:t>
            </w:r>
          </w:p>
          <w:p w14:paraId="7BE5E030"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Desmaios.</w:t>
            </w:r>
          </w:p>
          <w:p w14:paraId="3CD69F0D"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Estados de pânico, overdose.</w:t>
            </w:r>
          </w:p>
          <w:p w14:paraId="10A09B41"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 xml:space="preserve">Alterações de Sinais Vitais em paciente sintomático </w:t>
            </w:r>
          </w:p>
          <w:p w14:paraId="7C70C4CE" w14:textId="77777777" w:rsidR="00787BF7" w:rsidRDefault="00000000">
            <w:pPr>
              <w:numPr>
                <w:ilvl w:val="0"/>
                <w:numId w:val="1"/>
              </w:num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FC &lt; 50 ou &gt; 140</w:t>
            </w:r>
          </w:p>
          <w:p w14:paraId="0D3B1BE2" w14:textId="77777777" w:rsidR="00787BF7" w:rsidRDefault="00000000">
            <w:pPr>
              <w:numPr>
                <w:ilvl w:val="0"/>
                <w:numId w:val="1"/>
              </w:num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PA sistólica &lt; 90 ou &gt; 240</w:t>
            </w:r>
          </w:p>
          <w:p w14:paraId="2FA9691F" w14:textId="77777777" w:rsidR="00787BF7" w:rsidRDefault="00000000">
            <w:pPr>
              <w:numPr>
                <w:ilvl w:val="0"/>
                <w:numId w:val="1"/>
              </w:num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PA diastólica &gt; 130</w:t>
            </w:r>
          </w:p>
          <w:p w14:paraId="113290B3" w14:textId="77777777" w:rsidR="00787BF7" w:rsidRDefault="00000000">
            <w:pPr>
              <w:numPr>
                <w:ilvl w:val="0"/>
                <w:numId w:val="1"/>
              </w:num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d. T &lt; 35 ou. 40</w:t>
            </w:r>
          </w:p>
          <w:p w14:paraId="5BE5CC9C"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História recente de melena ou hematêmese ou enterorragia com PA sistólica, 100 ou FC &gt; 120.</w:t>
            </w:r>
          </w:p>
          <w:p w14:paraId="19E7759C"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Epistaxe com alteração de sinais vitais</w:t>
            </w:r>
          </w:p>
          <w:p w14:paraId="5F979B97"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 xml:space="preserve">Dor abdominal intensa com náuseas e vômitos, sudorese, com alteração de sinais vitais (Taquicardia ou bradicardia, hipertensão ou hipotensão, febre) </w:t>
            </w:r>
          </w:p>
          <w:p w14:paraId="5638D95A"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 xml:space="preserve">Sangramento vaginal com dor abdominal e alteração de sinais vitais gravidez confirmada ou suspeita </w:t>
            </w:r>
          </w:p>
          <w:p w14:paraId="5DF7484E"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Náuseas /Vômitos e diarreia persistente com sinais de desidratação grave – letargia, mucosas ressecadas, turgor pastoso, alteração de sinais vitais, Desmaios</w:t>
            </w:r>
          </w:p>
        </w:tc>
      </w:tr>
      <w:tr w:rsidR="00787BF7" w14:paraId="294A407D" w14:textId="77777777">
        <w:trPr>
          <w:trHeight w:val="1362"/>
        </w:trPr>
        <w:tc>
          <w:tcPr>
            <w:tcW w:w="4540" w:type="dxa"/>
            <w:tcBorders>
              <w:top w:val="single" w:sz="8" w:space="0" w:color="000000"/>
              <w:left w:val="single" w:sz="8" w:space="0" w:color="000000"/>
              <w:bottom w:val="single" w:sz="8" w:space="0" w:color="000000"/>
              <w:right w:val="single" w:sz="8" w:space="0" w:color="000000"/>
            </w:tcBorders>
            <w:tcMar>
              <w:top w:w="169" w:type="dxa"/>
            </w:tcMar>
          </w:tcPr>
          <w:p w14:paraId="29DFB675"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Amarelo</w:t>
            </w:r>
          </w:p>
        </w:tc>
        <w:tc>
          <w:tcPr>
            <w:tcW w:w="4520" w:type="dxa"/>
            <w:tcBorders>
              <w:top w:val="single" w:sz="8" w:space="0" w:color="000000"/>
              <w:left w:val="single" w:sz="8" w:space="0" w:color="000000"/>
              <w:bottom w:val="single" w:sz="8" w:space="0" w:color="000000"/>
              <w:right w:val="single" w:sz="8" w:space="0" w:color="000000"/>
            </w:tcBorders>
            <w:tcMar>
              <w:top w:w="169" w:type="dxa"/>
            </w:tcMar>
          </w:tcPr>
          <w:p w14:paraId="06676B38"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Febre alta (39/40.o C)</w:t>
            </w:r>
          </w:p>
          <w:p w14:paraId="4888E61C"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Fraturas anguladas e luxações com comprometimento neuro-vascular ou dor intensa - - Intoxicação exógena sem alteração de sinais vitais, Glasgow de 15</w:t>
            </w:r>
          </w:p>
          <w:p w14:paraId="46F0A4CD"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Vítimas de abuso sexual</w:t>
            </w:r>
          </w:p>
          <w:p w14:paraId="18EF2424"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Imunodeprimidos com febre</w:t>
            </w:r>
          </w:p>
        </w:tc>
      </w:tr>
      <w:tr w:rsidR="00787BF7" w14:paraId="1115DB9C" w14:textId="77777777">
        <w:trPr>
          <w:trHeight w:val="4778"/>
        </w:trPr>
        <w:tc>
          <w:tcPr>
            <w:tcW w:w="4540" w:type="dxa"/>
            <w:tcBorders>
              <w:top w:val="single" w:sz="8" w:space="0" w:color="000000"/>
              <w:left w:val="single" w:sz="8" w:space="0" w:color="000000"/>
              <w:right w:val="single" w:sz="8" w:space="0" w:color="000000"/>
            </w:tcBorders>
            <w:tcMar>
              <w:top w:w="169" w:type="dxa"/>
            </w:tcMar>
          </w:tcPr>
          <w:p w14:paraId="2098B2DC"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Verde: Pacientes em condições agudas (urgência relativa) ou não agudas atendidos com prioridade sobre consultas simples – espera até 30 minutos</w:t>
            </w:r>
          </w:p>
        </w:tc>
        <w:tc>
          <w:tcPr>
            <w:tcW w:w="4520" w:type="dxa"/>
            <w:tcBorders>
              <w:top w:val="single" w:sz="8" w:space="0" w:color="000000"/>
              <w:left w:val="single" w:sz="8" w:space="0" w:color="000000"/>
              <w:right w:val="single" w:sz="8" w:space="0" w:color="000000"/>
            </w:tcBorders>
            <w:tcMar>
              <w:top w:w="169" w:type="dxa"/>
            </w:tcMar>
            <w:vAlign w:val="center"/>
          </w:tcPr>
          <w:p w14:paraId="1D126549"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Idade superior a 60 anos.</w:t>
            </w:r>
          </w:p>
          <w:p w14:paraId="65C4604F"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Gestantes com complicações da gravidez.</w:t>
            </w:r>
          </w:p>
          <w:p w14:paraId="39AF98C8"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Pacientes escoltados.</w:t>
            </w:r>
          </w:p>
          <w:p w14:paraId="20850195"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Pacientes doadores de sangue.</w:t>
            </w:r>
          </w:p>
          <w:p w14:paraId="299A6B33"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Deficientes físicos.</w:t>
            </w:r>
          </w:p>
          <w:p w14:paraId="240F549A"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Retornos com período inferior a 24 horasdevido a não melhora do quadro.</w:t>
            </w:r>
          </w:p>
          <w:p w14:paraId="7B2D5FF3"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Impossibilidade de deambulação.</w:t>
            </w:r>
          </w:p>
          <w:p w14:paraId="16C6DC79"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Asma fora de crise.</w:t>
            </w:r>
          </w:p>
          <w:p w14:paraId="6604D6B6"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Enxaqueca – pacientes com diagnósticoanterior de enxaqueca.</w:t>
            </w:r>
          </w:p>
          <w:p w14:paraId="62ADEC44"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Dor de ouvido moderada a grave.</w:t>
            </w:r>
          </w:p>
          <w:p w14:paraId="454DD8F9"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Dor abdominal sem alteração de sinaisvitais.</w:t>
            </w:r>
          </w:p>
          <w:p w14:paraId="5689B45A"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Sangramento vaginal sem dor abdominalou com dor abdominal leve.</w:t>
            </w:r>
          </w:p>
          <w:p w14:paraId="7BD8D01C"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Vômitos e diarreia sem sinais dedesidratação.</w:t>
            </w:r>
          </w:p>
          <w:p w14:paraId="47B4C632"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História de convulsão sem alteração de consciência.</w:t>
            </w:r>
          </w:p>
          <w:p w14:paraId="7D244819"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Lombalgia intensa.</w:t>
            </w:r>
          </w:p>
          <w:p w14:paraId="73EEE269"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Abcessos.</w:t>
            </w:r>
          </w:p>
          <w:p w14:paraId="2E70D5C0"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Distúrbios neurovegetativos.</w:t>
            </w:r>
          </w:p>
          <w:p w14:paraId="39C4E71D"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Intercorrências ortopédicas (entorsesuspeita de fraturas, luxações).</w:t>
            </w:r>
          </w:p>
          <w:p w14:paraId="51E31E7F"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Pacientes com ferimentos deverão ser encaminhados diretamente para a sala de sutura.</w:t>
            </w:r>
          </w:p>
        </w:tc>
      </w:tr>
      <w:tr w:rsidR="00787BF7" w14:paraId="1D8D5821" w14:textId="77777777">
        <w:trPr>
          <w:trHeight w:val="1037"/>
        </w:trPr>
        <w:tc>
          <w:tcPr>
            <w:tcW w:w="4540" w:type="dxa"/>
            <w:tcBorders>
              <w:top w:val="single" w:sz="8" w:space="0" w:color="000000"/>
              <w:left w:val="single" w:sz="8" w:space="0" w:color="000000"/>
              <w:bottom w:val="single" w:sz="8" w:space="0" w:color="000000"/>
              <w:right w:val="single" w:sz="8" w:space="0" w:color="000000"/>
            </w:tcBorders>
            <w:tcMar>
              <w:top w:w="169" w:type="dxa"/>
            </w:tcMar>
          </w:tcPr>
          <w:p w14:paraId="0E96B19D"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Azul:</w:t>
            </w:r>
          </w:p>
          <w:p w14:paraId="46288184"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Demais condições não enquadradas nas situações/ queixas acima</w:t>
            </w:r>
          </w:p>
        </w:tc>
        <w:tc>
          <w:tcPr>
            <w:tcW w:w="4520" w:type="dxa"/>
            <w:tcBorders>
              <w:top w:val="single" w:sz="8" w:space="0" w:color="000000"/>
              <w:left w:val="single" w:sz="8" w:space="0" w:color="000000"/>
              <w:bottom w:val="single" w:sz="8" w:space="0" w:color="000000"/>
              <w:right w:val="single" w:sz="8" w:space="0" w:color="000000"/>
            </w:tcBorders>
            <w:tcMar>
              <w:top w:w="169" w:type="dxa"/>
            </w:tcMar>
          </w:tcPr>
          <w:p w14:paraId="1AFD889C"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Queixas crônicas sem alterações agudas.</w:t>
            </w:r>
          </w:p>
          <w:p w14:paraId="0B6E927B"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Procedimentos como: curativos, trocas ou requisições de receitas médicas, avaliação de resultados de exames, solicitações de atestados médicos.</w:t>
            </w:r>
          </w:p>
          <w:p w14:paraId="2BF628F0" w14:textId="77777777" w:rsidR="00787BF7" w:rsidRDefault="00000000">
            <w:pPr>
              <w:pBdr>
                <w:top w:val="nil"/>
                <w:left w:val="nil"/>
                <w:bottom w:val="nil"/>
                <w:right w:val="nil"/>
                <w:between w:val="nil"/>
              </w:pBdr>
              <w:spacing w:after="0" w:line="240" w:lineRule="auto"/>
              <w:rPr>
                <w:rFonts w:ascii="Arial" w:eastAsia="Arial" w:hAnsi="Arial" w:cs="Arial"/>
                <w:sz w:val="18"/>
                <w:szCs w:val="18"/>
              </w:rPr>
            </w:pPr>
            <w:r>
              <w:rPr>
                <w:rFonts w:ascii="Arial" w:eastAsia="Arial" w:hAnsi="Arial" w:cs="Arial"/>
                <w:sz w:val="18"/>
                <w:szCs w:val="18"/>
              </w:rPr>
              <w:t>Após a consulta médica e medicação o paciente é liberado.</w:t>
            </w:r>
          </w:p>
        </w:tc>
      </w:tr>
    </w:tbl>
    <w:p w14:paraId="527AB4C4"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Fonte: Abbês e Massaro (2014. Adaptado)</w:t>
      </w:r>
    </w:p>
    <w:p w14:paraId="4875A7A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4AEAE4D"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C61B5FD"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B8F619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6A0681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2C588F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F24C43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087A92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F7118C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0D1765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EB6E4B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9702D6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F8A666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B86D6F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EF22E2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BE084D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F546E9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5236BD3" w14:textId="77777777" w:rsidR="00787BF7" w:rsidRDefault="00000000">
      <w:pPr>
        <w:pStyle w:val="Ttulo1"/>
      </w:pPr>
      <w:bookmarkStart w:id="17" w:name="_heading=h.2jxsxqh" w:colFirst="0" w:colLast="0"/>
      <w:bookmarkEnd w:id="17"/>
      <w:r>
        <w:t>3 METODOLOGIA</w:t>
      </w:r>
    </w:p>
    <w:p w14:paraId="7AEC56BD"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7C88FBD" w14:textId="77777777" w:rsidR="00787BF7" w:rsidRDefault="00000000">
      <w:pPr>
        <w:pStyle w:val="Ttulo2"/>
      </w:pPr>
      <w:bookmarkStart w:id="18" w:name="_heading=h.z337ya" w:colFirst="0" w:colLast="0"/>
      <w:bookmarkEnd w:id="18"/>
      <w:r>
        <w:t>3.1 MATERIAIS E MÉTODOS</w:t>
      </w:r>
    </w:p>
    <w:p w14:paraId="443F21E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5043F09"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Trata-se de uma revisão da literatura. A Pesquisa bibliográfica é classificada como o modelo de estudo e análise de documentos de domínio científico utilizando livros, periódicos, dicionários e artigos científicos e uma pesquisa na internet que se forma uma ferramenta indesejável à humanidade para informações veloz sobre os mais diversos assuntos (MEDEIROS, 2015).</w:t>
      </w:r>
    </w:p>
    <w:p w14:paraId="4EF304E0"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A questão de pesquisa foi: Quais as dificuldades encontradas pelo enfermeiro no processo de acolhimento com classificação de risco mediante protocolos disponíveis? Foram realizadas busca nos artigos publicados entre o ano 2011-2021, nas seguintes bases de dados da Biblioteca Virtual em Saúde (BVS), Literatura Latino-Americana e do Caribe em Ciências da Saúde (Lilacs), Scientific</w:t>
      </w:r>
    </w:p>
    <w:p w14:paraId="5C0EDF96"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Electronic Library Online (SciElo) e Sistema Online de Busca e Análise de Literatura Médica (Medline), será utilizando as seguintes palavras-chaves: Classificação de risco; Triagem; Urgência e emergência; protocolos de atendimento; acolhimento na classificação de risco; protocolo Manchester.</w:t>
      </w:r>
    </w:p>
    <w:p w14:paraId="41A47202"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Serão utilizados como critérios de inclusão: artigos disponíveis em português, publicados entre</w:t>
      </w:r>
      <w:r>
        <w:rPr>
          <w:rFonts w:ascii="Arial" w:eastAsia="Arial" w:hAnsi="Arial" w:cs="Arial"/>
          <w:color w:val="FF0000"/>
          <w:sz w:val="24"/>
          <w:szCs w:val="24"/>
        </w:rPr>
        <w:t xml:space="preserve"> </w:t>
      </w:r>
      <w:r>
        <w:rPr>
          <w:rFonts w:ascii="Arial" w:eastAsia="Arial" w:hAnsi="Arial" w:cs="Arial"/>
          <w:sz w:val="24"/>
          <w:szCs w:val="24"/>
        </w:rPr>
        <w:t>2011 e 2021, que abordem assuntos correlatos à Enfermagem no processo de classificação de risco e cujos textos completos partindo de acesso on-line. Assim, excluíram-se os artigos com ano de publicação inferior a 2010 e as duplicidades.</w:t>
      </w:r>
    </w:p>
    <w:p w14:paraId="5CB67B82"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Para análise crítica dos artigos foram realizadas uma leitura completa com as respectivas sínteses. Sendo assim saíram-se classificados por ano de publicação; local de desenvolvimento das pesquisas e temáticas abordadas. Os resultados encontram-se apresentados em tabelas com frequências e percentuais e a discussão respaldada com a literatura.</w:t>
      </w:r>
    </w:p>
    <w:p w14:paraId="5FAD20B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FCBE07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B6E4D7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19E456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FD8D68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CAB0B1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8D4D8C7" w14:textId="77777777" w:rsidR="00787BF7" w:rsidRDefault="00000000">
      <w:pPr>
        <w:pStyle w:val="Ttulo1"/>
      </w:pPr>
      <w:bookmarkStart w:id="19" w:name="_heading=h.3j2qqm3" w:colFirst="0" w:colLast="0"/>
      <w:bookmarkEnd w:id="19"/>
      <w:r>
        <w:t>4 RESULTADOS E DISCUSSÃO</w:t>
      </w:r>
    </w:p>
    <w:p w14:paraId="488D345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C1CE216"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Foi realizado agrupamento de núcleos temáticos para se dar início a análise dos artigos em estudo, sendo eles os classificados: CLASSIFICAÇÃO DE RISCO, ATUAÇÃO DO ENFERMEIRO, PROTOCOLO MANCHESTER. A importância do enfermeiro na classificação de risco de uma unidade de Urgência e Emergência.</w:t>
      </w:r>
    </w:p>
    <w:p w14:paraId="2B1A5DF4"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De acordo com os resultados encontrados, foram analisados 10 artigos, mais atuais com intuito de obter clareza nos conhecimentos, bem como atualidades como uso do PM.</w:t>
      </w:r>
    </w:p>
    <w:p w14:paraId="2D932C23"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A seguir apresenta-se a análise dos artigos separados em três núcleos temáticos: a atuação do enfermeiro frente à classificação de risco; dificuldades vivenciadas pelo enfermeiro; o sentimento dos enfermeiros frente a classificação de risco</w:t>
      </w:r>
    </w:p>
    <w:p w14:paraId="02111409"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43A3E29" w14:textId="77777777" w:rsidR="00787BF7" w:rsidRDefault="00000000">
      <w:pPr>
        <w:pStyle w:val="Ttulo2"/>
      </w:pPr>
      <w:bookmarkStart w:id="20" w:name="_heading=h.1y810tw" w:colFirst="0" w:colLast="0"/>
      <w:bookmarkEnd w:id="20"/>
      <w:r>
        <w:t>4.1 CARACTERIZAÇÃO DOS DADOS</w:t>
      </w:r>
    </w:p>
    <w:p w14:paraId="296FA12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A8577F5"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A busca às referências nas bases de dados foi feita utilizando-se formulário avançado, disponibilizado no sistema BVS SAÚDE. Primeiro, fez-se à busca somente por descritores de assunto, em cada base de dados entre as referências.</w:t>
      </w:r>
    </w:p>
    <w:p w14:paraId="2D57CD58"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Em seguida, a pesquisa foi refinada, selecionando referências publicadas de 2011 a 2021, em cada base de dados, com cada um dos descritores do assunto. E, por fim, utilizou-se novamente o método de refinamento, incluindo o idioma português.</w:t>
      </w:r>
    </w:p>
    <w:p w14:paraId="1C6D6C8E"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A busca resultou em um total de 46 artigos. Destes, 22 artigos foram referências selecionadas que atendiam aos critérios de inclusão, das quais somente doze artigos atenderam o objetivo deste estudo, conforme a tabela 1 </w:t>
      </w:r>
    </w:p>
    <w:p w14:paraId="2CEA574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5233AE0" w14:textId="77777777" w:rsidR="00787BF7" w:rsidRDefault="00000000">
      <w:pPr>
        <w:pStyle w:val="Ttulo6"/>
      </w:pPr>
      <w:bookmarkStart w:id="21" w:name="_heading=h.4i7ojhp" w:colFirst="0" w:colLast="0"/>
      <w:bookmarkEnd w:id="21"/>
      <w:r>
        <w:t>Tabela 1 – Distribuição dos artigos conforme nos anos de 2011-2021.</w:t>
      </w:r>
    </w:p>
    <w:tbl>
      <w:tblPr>
        <w:tblStyle w:val="a2"/>
        <w:tblW w:w="9072"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1815"/>
        <w:gridCol w:w="2306"/>
        <w:gridCol w:w="2077"/>
        <w:gridCol w:w="2874"/>
      </w:tblGrid>
      <w:tr w:rsidR="00787BF7" w14:paraId="739A2B39" w14:textId="77777777">
        <w:tc>
          <w:tcPr>
            <w:tcW w:w="1815" w:type="dxa"/>
            <w:tcBorders>
              <w:top w:val="single" w:sz="4" w:space="0" w:color="000000"/>
              <w:bottom w:val="single" w:sz="4" w:space="0" w:color="000000"/>
            </w:tcBorders>
          </w:tcPr>
          <w:p w14:paraId="2396756C" w14:textId="77777777" w:rsidR="00787BF7"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Ano</w:t>
            </w:r>
          </w:p>
        </w:tc>
        <w:tc>
          <w:tcPr>
            <w:tcW w:w="2306" w:type="dxa"/>
            <w:tcBorders>
              <w:top w:val="single" w:sz="4" w:space="0" w:color="000000"/>
              <w:bottom w:val="single" w:sz="4" w:space="0" w:color="000000"/>
            </w:tcBorders>
          </w:tcPr>
          <w:p w14:paraId="5E23861A" w14:textId="77777777" w:rsidR="00787BF7"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Artigos Localizado</w:t>
            </w:r>
          </w:p>
        </w:tc>
        <w:tc>
          <w:tcPr>
            <w:tcW w:w="2077" w:type="dxa"/>
            <w:tcBorders>
              <w:top w:val="single" w:sz="4" w:space="0" w:color="000000"/>
              <w:bottom w:val="single" w:sz="4" w:space="0" w:color="000000"/>
            </w:tcBorders>
          </w:tcPr>
          <w:p w14:paraId="13DC736E" w14:textId="77777777" w:rsidR="00787BF7"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Artigos Selecionados</w:t>
            </w:r>
          </w:p>
        </w:tc>
        <w:tc>
          <w:tcPr>
            <w:tcW w:w="2874" w:type="dxa"/>
            <w:tcBorders>
              <w:top w:val="single" w:sz="4" w:space="0" w:color="000000"/>
              <w:bottom w:val="single" w:sz="4" w:space="0" w:color="000000"/>
            </w:tcBorders>
          </w:tcPr>
          <w:p w14:paraId="0B451097" w14:textId="77777777" w:rsidR="00787BF7"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Artigos Incluídos</w:t>
            </w:r>
          </w:p>
        </w:tc>
      </w:tr>
      <w:tr w:rsidR="00787BF7" w14:paraId="56231962" w14:textId="77777777">
        <w:tc>
          <w:tcPr>
            <w:tcW w:w="1815" w:type="dxa"/>
            <w:tcBorders>
              <w:top w:val="single" w:sz="4" w:space="0" w:color="000000"/>
            </w:tcBorders>
          </w:tcPr>
          <w:p w14:paraId="7C7916A6"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2011</w:t>
            </w:r>
          </w:p>
        </w:tc>
        <w:tc>
          <w:tcPr>
            <w:tcW w:w="2306" w:type="dxa"/>
            <w:tcBorders>
              <w:top w:val="single" w:sz="4" w:space="0" w:color="000000"/>
            </w:tcBorders>
          </w:tcPr>
          <w:p w14:paraId="4C66E2B4"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01</w:t>
            </w:r>
          </w:p>
        </w:tc>
        <w:tc>
          <w:tcPr>
            <w:tcW w:w="2077" w:type="dxa"/>
            <w:tcBorders>
              <w:top w:val="single" w:sz="4" w:space="0" w:color="000000"/>
            </w:tcBorders>
          </w:tcPr>
          <w:p w14:paraId="2213EBBC"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01</w:t>
            </w:r>
          </w:p>
        </w:tc>
        <w:tc>
          <w:tcPr>
            <w:tcW w:w="2874" w:type="dxa"/>
            <w:tcBorders>
              <w:top w:val="single" w:sz="4" w:space="0" w:color="000000"/>
            </w:tcBorders>
          </w:tcPr>
          <w:p w14:paraId="714744B0"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01</w:t>
            </w:r>
          </w:p>
        </w:tc>
      </w:tr>
      <w:tr w:rsidR="00787BF7" w14:paraId="05AF2D28" w14:textId="77777777">
        <w:tc>
          <w:tcPr>
            <w:tcW w:w="1815" w:type="dxa"/>
          </w:tcPr>
          <w:p w14:paraId="1B91B1C6"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2012</w:t>
            </w:r>
          </w:p>
        </w:tc>
        <w:tc>
          <w:tcPr>
            <w:tcW w:w="2306" w:type="dxa"/>
          </w:tcPr>
          <w:p w14:paraId="3F5DC55B"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15</w:t>
            </w:r>
          </w:p>
        </w:tc>
        <w:tc>
          <w:tcPr>
            <w:tcW w:w="2077" w:type="dxa"/>
          </w:tcPr>
          <w:p w14:paraId="0B691864"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01</w:t>
            </w:r>
          </w:p>
        </w:tc>
        <w:tc>
          <w:tcPr>
            <w:tcW w:w="2874" w:type="dxa"/>
          </w:tcPr>
          <w:p w14:paraId="59D9701F"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01</w:t>
            </w:r>
          </w:p>
        </w:tc>
      </w:tr>
      <w:tr w:rsidR="00787BF7" w14:paraId="0A6ADC83" w14:textId="77777777">
        <w:tc>
          <w:tcPr>
            <w:tcW w:w="1815" w:type="dxa"/>
          </w:tcPr>
          <w:p w14:paraId="2C640D7B"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2014</w:t>
            </w:r>
          </w:p>
        </w:tc>
        <w:tc>
          <w:tcPr>
            <w:tcW w:w="2306" w:type="dxa"/>
          </w:tcPr>
          <w:p w14:paraId="1565F922"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07</w:t>
            </w:r>
          </w:p>
        </w:tc>
        <w:tc>
          <w:tcPr>
            <w:tcW w:w="2077" w:type="dxa"/>
          </w:tcPr>
          <w:p w14:paraId="041351D7"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02</w:t>
            </w:r>
          </w:p>
        </w:tc>
        <w:tc>
          <w:tcPr>
            <w:tcW w:w="2874" w:type="dxa"/>
          </w:tcPr>
          <w:p w14:paraId="74375954"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02</w:t>
            </w:r>
          </w:p>
        </w:tc>
      </w:tr>
      <w:tr w:rsidR="00787BF7" w14:paraId="0D6F2037" w14:textId="77777777">
        <w:tc>
          <w:tcPr>
            <w:tcW w:w="1815" w:type="dxa"/>
          </w:tcPr>
          <w:p w14:paraId="409A3DC5"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2017</w:t>
            </w:r>
          </w:p>
        </w:tc>
        <w:tc>
          <w:tcPr>
            <w:tcW w:w="2306" w:type="dxa"/>
          </w:tcPr>
          <w:p w14:paraId="78408089"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10</w:t>
            </w:r>
          </w:p>
        </w:tc>
        <w:tc>
          <w:tcPr>
            <w:tcW w:w="2077" w:type="dxa"/>
          </w:tcPr>
          <w:p w14:paraId="5D8FFD08"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03</w:t>
            </w:r>
          </w:p>
        </w:tc>
        <w:tc>
          <w:tcPr>
            <w:tcW w:w="2874" w:type="dxa"/>
          </w:tcPr>
          <w:p w14:paraId="77EB0015"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03</w:t>
            </w:r>
          </w:p>
        </w:tc>
      </w:tr>
      <w:tr w:rsidR="00787BF7" w14:paraId="5F67A0FE" w14:textId="77777777">
        <w:tc>
          <w:tcPr>
            <w:tcW w:w="1815" w:type="dxa"/>
          </w:tcPr>
          <w:p w14:paraId="7B3397BF"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2019</w:t>
            </w:r>
          </w:p>
        </w:tc>
        <w:tc>
          <w:tcPr>
            <w:tcW w:w="2306" w:type="dxa"/>
          </w:tcPr>
          <w:p w14:paraId="05517C51"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06</w:t>
            </w:r>
          </w:p>
        </w:tc>
        <w:tc>
          <w:tcPr>
            <w:tcW w:w="2077" w:type="dxa"/>
          </w:tcPr>
          <w:p w14:paraId="221AE1B4"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01</w:t>
            </w:r>
          </w:p>
        </w:tc>
        <w:tc>
          <w:tcPr>
            <w:tcW w:w="2874" w:type="dxa"/>
          </w:tcPr>
          <w:p w14:paraId="7C518BA8"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01</w:t>
            </w:r>
          </w:p>
        </w:tc>
      </w:tr>
      <w:tr w:rsidR="00787BF7" w14:paraId="3A501C1B" w14:textId="77777777">
        <w:tc>
          <w:tcPr>
            <w:tcW w:w="1815" w:type="dxa"/>
            <w:tcBorders>
              <w:bottom w:val="single" w:sz="4" w:space="0" w:color="000000"/>
            </w:tcBorders>
          </w:tcPr>
          <w:p w14:paraId="25981EF2"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2021</w:t>
            </w:r>
          </w:p>
        </w:tc>
        <w:tc>
          <w:tcPr>
            <w:tcW w:w="2306" w:type="dxa"/>
            <w:tcBorders>
              <w:bottom w:val="single" w:sz="4" w:space="0" w:color="000000"/>
            </w:tcBorders>
          </w:tcPr>
          <w:p w14:paraId="57E7E841"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07</w:t>
            </w:r>
          </w:p>
        </w:tc>
        <w:tc>
          <w:tcPr>
            <w:tcW w:w="2077" w:type="dxa"/>
            <w:tcBorders>
              <w:bottom w:val="single" w:sz="4" w:space="0" w:color="000000"/>
            </w:tcBorders>
          </w:tcPr>
          <w:p w14:paraId="76C5E43F"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04</w:t>
            </w:r>
          </w:p>
        </w:tc>
        <w:tc>
          <w:tcPr>
            <w:tcW w:w="2874" w:type="dxa"/>
            <w:tcBorders>
              <w:bottom w:val="single" w:sz="4" w:space="0" w:color="000000"/>
            </w:tcBorders>
          </w:tcPr>
          <w:p w14:paraId="20D22E8A" w14:textId="77777777" w:rsidR="00787BF7" w:rsidRDefault="00000000">
            <w:pPr>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04</w:t>
            </w:r>
          </w:p>
        </w:tc>
      </w:tr>
      <w:tr w:rsidR="00787BF7" w14:paraId="4AD80ED0" w14:textId="77777777">
        <w:tc>
          <w:tcPr>
            <w:tcW w:w="1815" w:type="dxa"/>
            <w:tcBorders>
              <w:top w:val="single" w:sz="4" w:space="0" w:color="000000"/>
              <w:bottom w:val="single" w:sz="4" w:space="0" w:color="000000"/>
            </w:tcBorders>
          </w:tcPr>
          <w:p w14:paraId="2E530596" w14:textId="77777777" w:rsidR="00787BF7"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Total</w:t>
            </w:r>
          </w:p>
        </w:tc>
        <w:tc>
          <w:tcPr>
            <w:tcW w:w="2306" w:type="dxa"/>
            <w:tcBorders>
              <w:top w:val="single" w:sz="4" w:space="0" w:color="000000"/>
              <w:bottom w:val="single" w:sz="4" w:space="0" w:color="000000"/>
            </w:tcBorders>
          </w:tcPr>
          <w:p w14:paraId="420A13CC" w14:textId="77777777" w:rsidR="00787BF7"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46</w:t>
            </w:r>
          </w:p>
        </w:tc>
        <w:tc>
          <w:tcPr>
            <w:tcW w:w="2077" w:type="dxa"/>
            <w:tcBorders>
              <w:top w:val="single" w:sz="4" w:space="0" w:color="000000"/>
              <w:bottom w:val="single" w:sz="4" w:space="0" w:color="000000"/>
            </w:tcBorders>
          </w:tcPr>
          <w:p w14:paraId="17A65DD1" w14:textId="77777777" w:rsidR="00787BF7"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12</w:t>
            </w:r>
          </w:p>
        </w:tc>
        <w:tc>
          <w:tcPr>
            <w:tcW w:w="2874" w:type="dxa"/>
            <w:tcBorders>
              <w:top w:val="single" w:sz="4" w:space="0" w:color="000000"/>
              <w:bottom w:val="single" w:sz="4" w:space="0" w:color="000000"/>
            </w:tcBorders>
          </w:tcPr>
          <w:p w14:paraId="6469D332" w14:textId="77777777" w:rsidR="00787BF7"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12</w:t>
            </w:r>
          </w:p>
        </w:tc>
      </w:tr>
    </w:tbl>
    <w:p w14:paraId="5DBD1FBF"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Fonte: Dados da pesquisa (2022)</w:t>
      </w:r>
    </w:p>
    <w:p w14:paraId="3B77C897"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Na tabela 1 conseguimos observar a elevação de artigos publicados e o interesse no assunto que diz respeito a Classificação de Risco na Urgência e Emergência ao longo dos anos.</w:t>
      </w:r>
    </w:p>
    <w:p w14:paraId="7D571966"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Para a discussão dos artigos e facilitar a compreensão dos resultados encontrados, foi demonstrado no quadro sinóptico a seguir:</w:t>
      </w:r>
    </w:p>
    <w:p w14:paraId="1176686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68EEA5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3C0DFAD"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951C20C"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08E03C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334A73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5FFB75C"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E29F7C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B125B7C"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A4CA2F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9151F4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A5D7AB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F39F12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CE67A2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0E9218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AB81F7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49B255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EF54F8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3F8D9B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CC51C1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0D2A92C"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CB0AD2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0EFF63C"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0C60FD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95A512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8E752F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D67218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87F0B2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CDC4E8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sectPr w:rsidR="00787BF7">
          <w:headerReference w:type="default" r:id="rId10"/>
          <w:footerReference w:type="default" r:id="rId11"/>
          <w:type w:val="continuous"/>
          <w:pgSz w:w="11907" w:h="16840"/>
          <w:pgMar w:top="1701" w:right="1134" w:bottom="1134" w:left="1701" w:header="851" w:footer="851" w:gutter="0"/>
          <w:cols w:space="720"/>
        </w:sectPr>
      </w:pPr>
    </w:p>
    <w:p w14:paraId="5ABC9B8E" w14:textId="77777777" w:rsidR="00787BF7" w:rsidRDefault="00000000">
      <w:pPr>
        <w:pStyle w:val="Ttulo5"/>
      </w:pPr>
      <w:bookmarkStart w:id="22" w:name="_heading=h.2xcytpi" w:colFirst="0" w:colLast="0"/>
      <w:bookmarkEnd w:id="22"/>
      <w:r>
        <w:t>Quadro 3 – Quadro</w:t>
      </w:r>
      <w:r>
        <w:rPr>
          <w:b/>
        </w:rPr>
        <w:t xml:space="preserve"> sinóptico - Apresentação dos artigos selecionados.</w:t>
      </w:r>
    </w:p>
    <w:tbl>
      <w:tblPr>
        <w:tblStyle w:val="a3"/>
        <w:tblW w:w="13985" w:type="dxa"/>
        <w:tblInd w:w="2" w:type="dxa"/>
        <w:tblLayout w:type="fixed"/>
        <w:tblLook w:val="0400" w:firstRow="0" w:lastRow="0" w:firstColumn="0" w:lastColumn="0" w:noHBand="0" w:noVBand="1"/>
      </w:tblPr>
      <w:tblGrid>
        <w:gridCol w:w="2062"/>
        <w:gridCol w:w="1961"/>
        <w:gridCol w:w="1675"/>
        <w:gridCol w:w="1947"/>
        <w:gridCol w:w="3742"/>
        <w:gridCol w:w="2598"/>
      </w:tblGrid>
      <w:tr w:rsidR="00787BF7" w14:paraId="1407A1DF" w14:textId="77777777">
        <w:trPr>
          <w:cantSplit/>
          <w:trHeight w:val="540"/>
        </w:trPr>
        <w:tc>
          <w:tcPr>
            <w:tcW w:w="2062" w:type="dxa"/>
            <w:tcBorders>
              <w:top w:val="single" w:sz="8" w:space="0" w:color="000000"/>
              <w:left w:val="single" w:sz="8" w:space="0" w:color="000000"/>
              <w:bottom w:val="single" w:sz="8" w:space="0" w:color="000000"/>
              <w:right w:val="single" w:sz="8" w:space="0" w:color="000000"/>
            </w:tcBorders>
            <w:shd w:val="clear" w:color="auto" w:fill="auto"/>
          </w:tcPr>
          <w:p w14:paraId="10A8779F" w14:textId="77777777" w:rsidR="00787BF7" w:rsidRDefault="00000000">
            <w:pPr>
              <w:spacing w:after="0" w:line="240" w:lineRule="auto"/>
              <w:jc w:val="center"/>
              <w:rPr>
                <w:rFonts w:ascii="Arial" w:eastAsia="Arial" w:hAnsi="Arial" w:cs="Arial"/>
                <w:b/>
                <w:sz w:val="20"/>
                <w:szCs w:val="20"/>
              </w:rPr>
            </w:pPr>
            <w:r>
              <w:rPr>
                <w:rFonts w:ascii="Arial" w:eastAsia="Arial" w:hAnsi="Arial" w:cs="Arial"/>
                <w:b/>
                <w:sz w:val="20"/>
                <w:szCs w:val="20"/>
              </w:rPr>
              <w:t>Título Artigo</w:t>
            </w:r>
          </w:p>
        </w:tc>
        <w:tc>
          <w:tcPr>
            <w:tcW w:w="1961" w:type="dxa"/>
            <w:tcBorders>
              <w:top w:val="single" w:sz="8" w:space="0" w:color="000000"/>
              <w:left w:val="nil"/>
              <w:bottom w:val="single" w:sz="8" w:space="0" w:color="000000"/>
              <w:right w:val="single" w:sz="8" w:space="0" w:color="000000"/>
            </w:tcBorders>
            <w:shd w:val="clear" w:color="auto" w:fill="auto"/>
          </w:tcPr>
          <w:p w14:paraId="2A01CADB" w14:textId="77777777" w:rsidR="00787BF7" w:rsidRDefault="00000000">
            <w:pPr>
              <w:spacing w:after="0" w:line="240" w:lineRule="auto"/>
              <w:jc w:val="center"/>
              <w:rPr>
                <w:rFonts w:ascii="Arial" w:eastAsia="Arial" w:hAnsi="Arial" w:cs="Arial"/>
                <w:b/>
                <w:sz w:val="20"/>
                <w:szCs w:val="20"/>
              </w:rPr>
            </w:pPr>
            <w:r>
              <w:rPr>
                <w:rFonts w:ascii="Arial" w:eastAsia="Arial" w:hAnsi="Arial" w:cs="Arial"/>
                <w:b/>
                <w:sz w:val="20"/>
                <w:szCs w:val="20"/>
              </w:rPr>
              <w:t>Autores/ Ano de Publicação</w:t>
            </w:r>
          </w:p>
        </w:tc>
        <w:tc>
          <w:tcPr>
            <w:tcW w:w="1675" w:type="dxa"/>
            <w:tcBorders>
              <w:top w:val="single" w:sz="8" w:space="0" w:color="000000"/>
              <w:left w:val="nil"/>
              <w:bottom w:val="single" w:sz="8" w:space="0" w:color="000000"/>
              <w:right w:val="single" w:sz="8" w:space="0" w:color="000000"/>
            </w:tcBorders>
            <w:shd w:val="clear" w:color="auto" w:fill="auto"/>
          </w:tcPr>
          <w:p w14:paraId="21D000F6" w14:textId="77777777" w:rsidR="00787BF7" w:rsidRDefault="00000000">
            <w:pPr>
              <w:spacing w:after="0" w:line="240" w:lineRule="auto"/>
              <w:jc w:val="center"/>
              <w:rPr>
                <w:rFonts w:ascii="Arial" w:eastAsia="Arial" w:hAnsi="Arial" w:cs="Arial"/>
                <w:b/>
                <w:sz w:val="20"/>
                <w:szCs w:val="20"/>
              </w:rPr>
            </w:pPr>
            <w:r>
              <w:rPr>
                <w:rFonts w:ascii="Arial" w:eastAsia="Arial" w:hAnsi="Arial" w:cs="Arial"/>
                <w:b/>
                <w:sz w:val="20"/>
                <w:szCs w:val="20"/>
              </w:rPr>
              <w:t>Nome da Revista</w:t>
            </w:r>
          </w:p>
        </w:tc>
        <w:tc>
          <w:tcPr>
            <w:tcW w:w="1947" w:type="dxa"/>
            <w:tcBorders>
              <w:top w:val="single" w:sz="8" w:space="0" w:color="000000"/>
              <w:left w:val="nil"/>
              <w:bottom w:val="single" w:sz="8" w:space="0" w:color="000000"/>
              <w:right w:val="single" w:sz="8" w:space="0" w:color="000000"/>
            </w:tcBorders>
            <w:shd w:val="clear" w:color="auto" w:fill="auto"/>
          </w:tcPr>
          <w:p w14:paraId="43C1A932" w14:textId="77777777" w:rsidR="00787BF7" w:rsidRDefault="00000000">
            <w:pPr>
              <w:spacing w:after="0" w:line="240" w:lineRule="auto"/>
              <w:jc w:val="center"/>
              <w:rPr>
                <w:rFonts w:ascii="Arial" w:eastAsia="Arial" w:hAnsi="Arial" w:cs="Arial"/>
                <w:b/>
                <w:sz w:val="20"/>
                <w:szCs w:val="20"/>
              </w:rPr>
            </w:pPr>
            <w:r>
              <w:rPr>
                <w:rFonts w:ascii="Arial" w:eastAsia="Arial" w:hAnsi="Arial" w:cs="Arial"/>
                <w:b/>
                <w:sz w:val="20"/>
                <w:szCs w:val="20"/>
              </w:rPr>
              <w:t>Tipo de Estudo</w:t>
            </w:r>
          </w:p>
        </w:tc>
        <w:tc>
          <w:tcPr>
            <w:tcW w:w="3742" w:type="dxa"/>
            <w:tcBorders>
              <w:top w:val="single" w:sz="8" w:space="0" w:color="000000"/>
              <w:left w:val="nil"/>
              <w:bottom w:val="single" w:sz="8" w:space="0" w:color="000000"/>
              <w:right w:val="single" w:sz="8" w:space="0" w:color="000000"/>
            </w:tcBorders>
            <w:shd w:val="clear" w:color="auto" w:fill="auto"/>
          </w:tcPr>
          <w:p w14:paraId="7784B61B" w14:textId="77777777" w:rsidR="00787BF7" w:rsidRDefault="00000000">
            <w:pPr>
              <w:spacing w:after="0" w:line="240" w:lineRule="auto"/>
              <w:jc w:val="center"/>
              <w:rPr>
                <w:rFonts w:ascii="Arial" w:eastAsia="Arial" w:hAnsi="Arial" w:cs="Arial"/>
                <w:b/>
                <w:sz w:val="20"/>
                <w:szCs w:val="20"/>
              </w:rPr>
            </w:pPr>
            <w:r>
              <w:rPr>
                <w:rFonts w:ascii="Arial" w:eastAsia="Arial" w:hAnsi="Arial" w:cs="Arial"/>
                <w:b/>
                <w:sz w:val="20"/>
                <w:szCs w:val="20"/>
              </w:rPr>
              <w:t>Principais Causas Identificadas no artigo</w:t>
            </w:r>
          </w:p>
        </w:tc>
        <w:tc>
          <w:tcPr>
            <w:tcW w:w="2598" w:type="dxa"/>
            <w:tcBorders>
              <w:top w:val="single" w:sz="8" w:space="0" w:color="000000"/>
              <w:left w:val="nil"/>
              <w:bottom w:val="single" w:sz="8" w:space="0" w:color="000000"/>
              <w:right w:val="single" w:sz="8" w:space="0" w:color="000000"/>
            </w:tcBorders>
            <w:shd w:val="clear" w:color="auto" w:fill="auto"/>
          </w:tcPr>
          <w:p w14:paraId="394B2CEF" w14:textId="77777777" w:rsidR="00787BF7" w:rsidRDefault="00000000">
            <w:pPr>
              <w:spacing w:after="0" w:line="240" w:lineRule="auto"/>
              <w:jc w:val="center"/>
              <w:rPr>
                <w:rFonts w:ascii="Arial" w:eastAsia="Arial" w:hAnsi="Arial" w:cs="Arial"/>
                <w:b/>
                <w:sz w:val="20"/>
                <w:szCs w:val="20"/>
              </w:rPr>
            </w:pPr>
            <w:r>
              <w:rPr>
                <w:rFonts w:ascii="Arial" w:eastAsia="Arial" w:hAnsi="Arial" w:cs="Arial"/>
                <w:b/>
                <w:sz w:val="20"/>
                <w:szCs w:val="20"/>
              </w:rPr>
              <w:t>Objetivo Geral</w:t>
            </w:r>
          </w:p>
        </w:tc>
      </w:tr>
      <w:tr w:rsidR="00787BF7" w14:paraId="26141FBD" w14:textId="77777777">
        <w:trPr>
          <w:cantSplit/>
          <w:trHeight w:val="3064"/>
        </w:trPr>
        <w:tc>
          <w:tcPr>
            <w:tcW w:w="2062" w:type="dxa"/>
            <w:tcBorders>
              <w:top w:val="nil"/>
              <w:left w:val="single" w:sz="8" w:space="0" w:color="000000"/>
              <w:bottom w:val="nil"/>
              <w:right w:val="single" w:sz="8" w:space="0" w:color="000000"/>
            </w:tcBorders>
            <w:shd w:val="clear" w:color="auto" w:fill="auto"/>
          </w:tcPr>
          <w:p w14:paraId="03D9A1B6"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1. Classificação de risco em emergência –um desafio para as/os enfermeiras/os</w:t>
            </w:r>
          </w:p>
        </w:tc>
        <w:tc>
          <w:tcPr>
            <w:tcW w:w="1961" w:type="dxa"/>
            <w:tcBorders>
              <w:top w:val="nil"/>
              <w:left w:val="nil"/>
              <w:bottom w:val="nil"/>
              <w:right w:val="single" w:sz="8" w:space="0" w:color="000000"/>
            </w:tcBorders>
            <w:shd w:val="clear" w:color="auto" w:fill="auto"/>
          </w:tcPr>
          <w:p w14:paraId="4F1D7159"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Shiroma e Pires (2011)</w:t>
            </w:r>
          </w:p>
        </w:tc>
        <w:tc>
          <w:tcPr>
            <w:tcW w:w="1675" w:type="dxa"/>
            <w:tcBorders>
              <w:top w:val="nil"/>
              <w:left w:val="nil"/>
              <w:bottom w:val="nil"/>
              <w:right w:val="single" w:sz="8" w:space="0" w:color="000000"/>
            </w:tcBorders>
            <w:shd w:val="clear" w:color="auto" w:fill="auto"/>
          </w:tcPr>
          <w:p w14:paraId="37923FF2"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Enfermagem em Foco</w:t>
            </w:r>
          </w:p>
        </w:tc>
        <w:tc>
          <w:tcPr>
            <w:tcW w:w="1947" w:type="dxa"/>
            <w:tcBorders>
              <w:top w:val="nil"/>
              <w:left w:val="nil"/>
              <w:bottom w:val="nil"/>
              <w:right w:val="single" w:sz="8" w:space="0" w:color="000000"/>
            </w:tcBorders>
            <w:shd w:val="clear" w:color="auto" w:fill="auto"/>
          </w:tcPr>
          <w:p w14:paraId="00ABEDE0"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Estudo descritivo e exploratório de abordagem qualitativa</w:t>
            </w:r>
          </w:p>
        </w:tc>
        <w:tc>
          <w:tcPr>
            <w:tcW w:w="3742" w:type="dxa"/>
            <w:tcBorders>
              <w:top w:val="nil"/>
              <w:left w:val="nil"/>
              <w:bottom w:val="nil"/>
              <w:right w:val="single" w:sz="8" w:space="0" w:color="000000"/>
            </w:tcBorders>
            <w:shd w:val="clear" w:color="auto" w:fill="auto"/>
          </w:tcPr>
          <w:p w14:paraId="5ED15E60"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Nota-se que as/os enfermeiras /os da EMG possuem entre 25 e 39 anos, com predominância de mulheres (85,72%). Trabalham em média há sete anos como enfermeiras /os e há menos de cinco “O AACR associa o acolhimento com a classificação de risco, conforme o grau de sofrimento, o potencial de risco de vida ou agravos à saúde” Classificação de risco em emergência – um desafio para as/os enfermeiras /os anos na instituição e nesse serviço (71,43%).</w:t>
            </w:r>
          </w:p>
        </w:tc>
        <w:tc>
          <w:tcPr>
            <w:tcW w:w="2598" w:type="dxa"/>
            <w:tcBorders>
              <w:top w:val="nil"/>
              <w:left w:val="nil"/>
              <w:bottom w:val="nil"/>
              <w:right w:val="single" w:sz="8" w:space="0" w:color="000000"/>
            </w:tcBorders>
            <w:shd w:val="clear" w:color="auto" w:fill="auto"/>
          </w:tcPr>
          <w:p w14:paraId="211E64F7"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Conhecer a visão das/os enfermeiras/os acerca da implantação do Acolhimento com Avaliação e Classificação de Risco (AACR) em serviços de emergência.</w:t>
            </w:r>
          </w:p>
        </w:tc>
      </w:tr>
      <w:tr w:rsidR="00787BF7" w14:paraId="0F851A26" w14:textId="77777777">
        <w:trPr>
          <w:cantSplit/>
          <w:trHeight w:val="269"/>
        </w:trPr>
        <w:tc>
          <w:tcPr>
            <w:tcW w:w="2062" w:type="dxa"/>
            <w:tcBorders>
              <w:top w:val="single" w:sz="8" w:space="0" w:color="000000"/>
              <w:left w:val="single" w:sz="8" w:space="0" w:color="000000"/>
              <w:bottom w:val="nil"/>
              <w:right w:val="single" w:sz="8" w:space="0" w:color="000000"/>
            </w:tcBorders>
            <w:shd w:val="clear" w:color="auto" w:fill="auto"/>
          </w:tcPr>
          <w:p w14:paraId="6D125E7D"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2. ACOLHIMENTO COM CLASSIFICAÇÃO DE RISCO: PROPOSTA DE HUMANIZAÇÃO NOS SERVIÇOS DE URGENCIA</w:t>
            </w:r>
          </w:p>
        </w:tc>
        <w:tc>
          <w:tcPr>
            <w:tcW w:w="1961" w:type="dxa"/>
            <w:tcBorders>
              <w:top w:val="single" w:sz="8" w:space="0" w:color="000000"/>
              <w:left w:val="nil"/>
              <w:bottom w:val="nil"/>
              <w:right w:val="single" w:sz="8" w:space="0" w:color="000000"/>
            </w:tcBorders>
            <w:shd w:val="clear" w:color="auto" w:fill="auto"/>
          </w:tcPr>
          <w:p w14:paraId="74BFD087"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 xml:space="preserve">Cavalcante </w:t>
            </w:r>
            <w:r>
              <w:rPr>
                <w:rFonts w:ascii="Arial" w:eastAsia="Arial" w:hAnsi="Arial" w:cs="Arial"/>
                <w:i/>
                <w:sz w:val="20"/>
                <w:szCs w:val="20"/>
              </w:rPr>
              <w:t>et al.</w:t>
            </w:r>
            <w:r>
              <w:rPr>
                <w:rFonts w:ascii="Arial" w:eastAsia="Arial" w:hAnsi="Arial" w:cs="Arial"/>
                <w:sz w:val="20"/>
                <w:szCs w:val="20"/>
              </w:rPr>
              <w:t xml:space="preserve"> (2012)</w:t>
            </w:r>
          </w:p>
        </w:tc>
        <w:tc>
          <w:tcPr>
            <w:tcW w:w="1675" w:type="dxa"/>
            <w:tcBorders>
              <w:top w:val="single" w:sz="8" w:space="0" w:color="000000"/>
              <w:left w:val="nil"/>
              <w:bottom w:val="nil"/>
              <w:right w:val="single" w:sz="8" w:space="0" w:color="000000"/>
            </w:tcBorders>
            <w:shd w:val="clear" w:color="auto" w:fill="auto"/>
          </w:tcPr>
          <w:p w14:paraId="7DAFB344"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RECOM- Revista de Enfermagem do Centro Oeste Mineiro</w:t>
            </w:r>
          </w:p>
        </w:tc>
        <w:tc>
          <w:tcPr>
            <w:tcW w:w="1947" w:type="dxa"/>
            <w:tcBorders>
              <w:top w:val="single" w:sz="8" w:space="0" w:color="000000"/>
              <w:left w:val="nil"/>
              <w:bottom w:val="nil"/>
              <w:right w:val="single" w:sz="8" w:space="0" w:color="000000"/>
            </w:tcBorders>
            <w:shd w:val="clear" w:color="auto" w:fill="auto"/>
          </w:tcPr>
          <w:p w14:paraId="587D2B04"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Revisão de literatura</w:t>
            </w:r>
          </w:p>
        </w:tc>
        <w:tc>
          <w:tcPr>
            <w:tcW w:w="3742" w:type="dxa"/>
            <w:tcBorders>
              <w:top w:val="single" w:sz="8" w:space="0" w:color="000000"/>
              <w:left w:val="nil"/>
              <w:bottom w:val="nil"/>
              <w:right w:val="single" w:sz="8" w:space="0" w:color="000000"/>
            </w:tcBorders>
            <w:shd w:val="clear" w:color="auto" w:fill="auto"/>
          </w:tcPr>
          <w:p w14:paraId="54E82745"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O sistema de classificação de risco na urgência surgiu da realidade mundial vivenciada pelos serviços de urgência. Surge como  tentativa de minimizar problema da superlotação e permitir cuidados imediatos aos pacientes mais  graves. Este sistema de classificação foi introduzido para tentar minimizar os problemas gerados pela precária avaliação primaria dos pacientes.</w:t>
            </w:r>
          </w:p>
        </w:tc>
        <w:tc>
          <w:tcPr>
            <w:tcW w:w="2598" w:type="dxa"/>
            <w:tcBorders>
              <w:top w:val="single" w:sz="8" w:space="0" w:color="000000"/>
              <w:left w:val="nil"/>
              <w:bottom w:val="nil"/>
              <w:right w:val="single" w:sz="8" w:space="0" w:color="000000"/>
            </w:tcBorders>
            <w:shd w:val="clear" w:color="auto" w:fill="auto"/>
          </w:tcPr>
          <w:p w14:paraId="693774B4"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Identificar as principais características do acolhimento com classificação de risco, bem como se o mesmo está em consonância com os vários aspectos teóricos da humanização em serviços de urgência.</w:t>
            </w:r>
          </w:p>
        </w:tc>
      </w:tr>
      <w:tr w:rsidR="00787BF7" w14:paraId="11C94A7E" w14:textId="77777777">
        <w:trPr>
          <w:cantSplit/>
          <w:trHeight w:val="3529"/>
        </w:trPr>
        <w:tc>
          <w:tcPr>
            <w:tcW w:w="2062" w:type="dxa"/>
            <w:tcBorders>
              <w:top w:val="single" w:sz="8" w:space="0" w:color="000000"/>
              <w:left w:val="single" w:sz="8" w:space="0" w:color="000000"/>
              <w:bottom w:val="nil"/>
              <w:right w:val="single" w:sz="8" w:space="0" w:color="000000"/>
            </w:tcBorders>
            <w:shd w:val="clear" w:color="auto" w:fill="auto"/>
          </w:tcPr>
          <w:p w14:paraId="0048E7D8"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3. Acolhimento com classificação de risco: Um fio guia da administração em emergência</w:t>
            </w:r>
          </w:p>
        </w:tc>
        <w:tc>
          <w:tcPr>
            <w:tcW w:w="1961" w:type="dxa"/>
            <w:tcBorders>
              <w:top w:val="single" w:sz="8" w:space="0" w:color="000000"/>
              <w:left w:val="nil"/>
              <w:bottom w:val="nil"/>
              <w:right w:val="single" w:sz="8" w:space="0" w:color="000000"/>
            </w:tcBorders>
            <w:shd w:val="clear" w:color="auto" w:fill="auto"/>
          </w:tcPr>
          <w:p w14:paraId="07F2FA40"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Santos (2014)</w:t>
            </w:r>
          </w:p>
        </w:tc>
        <w:tc>
          <w:tcPr>
            <w:tcW w:w="1675" w:type="dxa"/>
            <w:tcBorders>
              <w:top w:val="single" w:sz="8" w:space="0" w:color="000000"/>
              <w:left w:val="nil"/>
              <w:bottom w:val="nil"/>
              <w:right w:val="single" w:sz="8" w:space="0" w:color="000000"/>
            </w:tcBorders>
            <w:shd w:val="clear" w:color="auto" w:fill="auto"/>
          </w:tcPr>
          <w:p w14:paraId="0F77263F"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REVISTA: Saúde e Desenvolvimento</w:t>
            </w:r>
          </w:p>
        </w:tc>
        <w:tc>
          <w:tcPr>
            <w:tcW w:w="1947" w:type="dxa"/>
            <w:tcBorders>
              <w:top w:val="single" w:sz="8" w:space="0" w:color="000000"/>
              <w:left w:val="nil"/>
              <w:bottom w:val="nil"/>
              <w:right w:val="single" w:sz="8" w:space="0" w:color="000000"/>
            </w:tcBorders>
            <w:shd w:val="clear" w:color="auto" w:fill="auto"/>
          </w:tcPr>
          <w:p w14:paraId="6902FB31"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Revisão integrativa por meio de artigos específicos.</w:t>
            </w:r>
          </w:p>
        </w:tc>
        <w:tc>
          <w:tcPr>
            <w:tcW w:w="3742" w:type="dxa"/>
            <w:tcBorders>
              <w:top w:val="single" w:sz="8" w:space="0" w:color="000000"/>
              <w:left w:val="nil"/>
              <w:bottom w:val="nil"/>
              <w:right w:val="single" w:sz="8" w:space="0" w:color="000000"/>
            </w:tcBorders>
            <w:shd w:val="clear" w:color="auto" w:fill="auto"/>
          </w:tcPr>
          <w:p w14:paraId="326B8039"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A Portaria GM/MS 2048/2022 propões a implementação, nas unidades de atendimento de urgência e emergência, do Acolhiment o com Avaliação e Classificação de Risco que é uma tecnologia utilizada para reorientar a assistência articulando qualificação e valores humanos com ampla resolutivida de, porque utiliza critérios de avaliações que levam em conta o processo saúde/doença, grau de sofrimento dos usuários e familiares, a priorização do tempo, diminuindo o número de mortes evitáveis, sequelas e internações.</w:t>
            </w:r>
          </w:p>
        </w:tc>
        <w:tc>
          <w:tcPr>
            <w:tcW w:w="2598" w:type="dxa"/>
            <w:tcBorders>
              <w:top w:val="single" w:sz="8" w:space="0" w:color="000000"/>
              <w:left w:val="nil"/>
              <w:bottom w:val="nil"/>
              <w:right w:val="single" w:sz="8" w:space="0" w:color="000000"/>
            </w:tcBorders>
            <w:shd w:val="clear" w:color="auto" w:fill="auto"/>
          </w:tcPr>
          <w:p w14:paraId="6122DEC6"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Discutir a classificação de risco como peça fundamental para o ordenamento do atendimento em emergência e como objetivos específicos compreende-lo como método seguro e confiável para a melhoria dos serviços, além de demonstrar a importância do acolhimento para a qualificação da porta de entrada do usuário ao sistema de saúde.</w:t>
            </w:r>
          </w:p>
        </w:tc>
      </w:tr>
      <w:tr w:rsidR="00787BF7" w14:paraId="4415F6E8" w14:textId="77777777">
        <w:trPr>
          <w:cantSplit/>
          <w:trHeight w:val="1951"/>
        </w:trPr>
        <w:tc>
          <w:tcPr>
            <w:tcW w:w="2062" w:type="dxa"/>
            <w:tcBorders>
              <w:top w:val="single" w:sz="8" w:space="0" w:color="000000"/>
              <w:left w:val="single" w:sz="8" w:space="0" w:color="000000"/>
              <w:bottom w:val="nil"/>
              <w:right w:val="single" w:sz="8" w:space="0" w:color="000000"/>
            </w:tcBorders>
            <w:shd w:val="clear" w:color="auto" w:fill="auto"/>
          </w:tcPr>
          <w:p w14:paraId="723B8136"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4. Percepção de enfe</w:t>
            </w:r>
          </w:p>
          <w:p w14:paraId="6FD8F2B8"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rmeiros sobre a classificação de risco em unidades de pronto atendimento</w:t>
            </w:r>
          </w:p>
        </w:tc>
        <w:tc>
          <w:tcPr>
            <w:tcW w:w="1961" w:type="dxa"/>
            <w:tcBorders>
              <w:top w:val="single" w:sz="8" w:space="0" w:color="000000"/>
              <w:left w:val="nil"/>
              <w:bottom w:val="nil"/>
              <w:right w:val="single" w:sz="8" w:space="0" w:color="000000"/>
            </w:tcBorders>
            <w:shd w:val="clear" w:color="auto" w:fill="auto"/>
          </w:tcPr>
          <w:p w14:paraId="70E471A8"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 xml:space="preserve">Duro </w:t>
            </w:r>
            <w:r>
              <w:rPr>
                <w:rFonts w:ascii="Arial" w:eastAsia="Arial" w:hAnsi="Arial" w:cs="Arial"/>
                <w:i/>
                <w:sz w:val="20"/>
                <w:szCs w:val="20"/>
              </w:rPr>
              <w:t xml:space="preserve">et al. </w:t>
            </w:r>
            <w:r>
              <w:rPr>
                <w:rFonts w:ascii="Arial" w:eastAsia="Arial" w:hAnsi="Arial" w:cs="Arial"/>
                <w:sz w:val="20"/>
                <w:szCs w:val="20"/>
              </w:rPr>
              <w:t>(2014)</w:t>
            </w:r>
          </w:p>
        </w:tc>
        <w:tc>
          <w:tcPr>
            <w:tcW w:w="1675" w:type="dxa"/>
            <w:tcBorders>
              <w:top w:val="single" w:sz="8" w:space="0" w:color="000000"/>
              <w:left w:val="nil"/>
              <w:bottom w:val="nil"/>
              <w:right w:val="single" w:sz="8" w:space="0" w:color="000000"/>
            </w:tcBorders>
            <w:shd w:val="clear" w:color="auto" w:fill="auto"/>
          </w:tcPr>
          <w:p w14:paraId="06E91AC4"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Rev Rene</w:t>
            </w:r>
          </w:p>
        </w:tc>
        <w:tc>
          <w:tcPr>
            <w:tcW w:w="1947" w:type="dxa"/>
            <w:tcBorders>
              <w:top w:val="single" w:sz="8" w:space="0" w:color="000000"/>
              <w:left w:val="nil"/>
              <w:bottom w:val="nil"/>
              <w:right w:val="single" w:sz="8" w:space="0" w:color="000000"/>
            </w:tcBorders>
            <w:shd w:val="clear" w:color="auto" w:fill="auto"/>
          </w:tcPr>
          <w:p w14:paraId="37B497DD"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Estudo descritivo de abordagem qualitativa</w:t>
            </w:r>
          </w:p>
        </w:tc>
        <w:tc>
          <w:tcPr>
            <w:tcW w:w="3742" w:type="dxa"/>
            <w:tcBorders>
              <w:top w:val="single" w:sz="8" w:space="0" w:color="000000"/>
              <w:left w:val="nil"/>
              <w:bottom w:val="nil"/>
              <w:right w:val="single" w:sz="8" w:space="0" w:color="000000"/>
            </w:tcBorders>
            <w:shd w:val="clear" w:color="auto" w:fill="auto"/>
          </w:tcPr>
          <w:p w14:paraId="2632B7C7"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A classificação de risco proporciona resposta mais rápida aos usuários com agravos agudos, que necessitam de intervenção imediata. Nesse sentido, contribui para a segurança dos enfermeiros na avaliação e proporciona avanços na qualidade assistencial, constituindo-se em instrumento de organização de trabalho.</w:t>
            </w:r>
          </w:p>
        </w:tc>
        <w:tc>
          <w:tcPr>
            <w:tcW w:w="2598" w:type="dxa"/>
            <w:tcBorders>
              <w:top w:val="single" w:sz="8" w:space="0" w:color="000000"/>
              <w:left w:val="nil"/>
              <w:bottom w:val="nil"/>
              <w:right w:val="single" w:sz="8" w:space="0" w:color="000000"/>
            </w:tcBorders>
            <w:shd w:val="clear" w:color="auto" w:fill="auto"/>
          </w:tcPr>
          <w:p w14:paraId="02C11381"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Avaliar a percepção de enfermeiros sobre a classificação de risco em unidades de pronto atendimento.</w:t>
            </w:r>
          </w:p>
        </w:tc>
      </w:tr>
      <w:tr w:rsidR="00787BF7" w14:paraId="2D3087F2" w14:textId="77777777">
        <w:trPr>
          <w:cantSplit/>
          <w:trHeight w:val="2395"/>
        </w:trPr>
        <w:tc>
          <w:tcPr>
            <w:tcW w:w="2062" w:type="dxa"/>
            <w:tcBorders>
              <w:top w:val="single" w:sz="8" w:space="0" w:color="000000"/>
              <w:left w:val="single" w:sz="8" w:space="0" w:color="000000"/>
              <w:bottom w:val="single" w:sz="8" w:space="0" w:color="000000"/>
              <w:right w:val="single" w:sz="8" w:space="0" w:color="000000"/>
            </w:tcBorders>
            <w:shd w:val="clear" w:color="auto" w:fill="auto"/>
          </w:tcPr>
          <w:p w14:paraId="19AE0138"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5. Acolhimento com classificação de risco: percepções de usuários de uma unidade de pronto atendimento</w:t>
            </w:r>
          </w:p>
        </w:tc>
        <w:tc>
          <w:tcPr>
            <w:tcW w:w="1961" w:type="dxa"/>
            <w:tcBorders>
              <w:top w:val="single" w:sz="8" w:space="0" w:color="000000"/>
              <w:left w:val="nil"/>
              <w:bottom w:val="single" w:sz="8" w:space="0" w:color="000000"/>
              <w:right w:val="single" w:sz="8" w:space="0" w:color="000000"/>
            </w:tcBorders>
            <w:shd w:val="clear" w:color="auto" w:fill="auto"/>
          </w:tcPr>
          <w:p w14:paraId="43719124"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 xml:space="preserve">Oliveira </w:t>
            </w:r>
            <w:r>
              <w:rPr>
                <w:rFonts w:ascii="Arial" w:eastAsia="Arial" w:hAnsi="Arial" w:cs="Arial"/>
                <w:i/>
                <w:sz w:val="20"/>
                <w:szCs w:val="20"/>
              </w:rPr>
              <w:t>et al.</w:t>
            </w:r>
            <w:r>
              <w:rPr>
                <w:rFonts w:ascii="Arial" w:eastAsia="Arial" w:hAnsi="Arial" w:cs="Arial"/>
                <w:sz w:val="20"/>
                <w:szCs w:val="20"/>
              </w:rPr>
              <w:t xml:space="preserve"> (2017)</w:t>
            </w:r>
          </w:p>
        </w:tc>
        <w:tc>
          <w:tcPr>
            <w:tcW w:w="1675" w:type="dxa"/>
            <w:tcBorders>
              <w:top w:val="single" w:sz="8" w:space="0" w:color="000000"/>
              <w:left w:val="nil"/>
              <w:bottom w:val="single" w:sz="8" w:space="0" w:color="000000"/>
              <w:right w:val="single" w:sz="8" w:space="0" w:color="000000"/>
            </w:tcBorders>
            <w:shd w:val="clear" w:color="auto" w:fill="auto"/>
          </w:tcPr>
          <w:p w14:paraId="76D9FD13"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Scielo</w:t>
            </w:r>
          </w:p>
        </w:tc>
        <w:tc>
          <w:tcPr>
            <w:tcW w:w="1947" w:type="dxa"/>
            <w:tcBorders>
              <w:top w:val="single" w:sz="8" w:space="0" w:color="000000"/>
              <w:left w:val="nil"/>
              <w:bottom w:val="single" w:sz="8" w:space="0" w:color="000000"/>
              <w:right w:val="single" w:sz="8" w:space="0" w:color="000000"/>
            </w:tcBorders>
            <w:shd w:val="clear" w:color="auto" w:fill="auto"/>
          </w:tcPr>
          <w:p w14:paraId="23CEAA6E"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Estudo descritivo-exploratório, de abordagem qualitativa.</w:t>
            </w:r>
          </w:p>
        </w:tc>
        <w:tc>
          <w:tcPr>
            <w:tcW w:w="3742" w:type="dxa"/>
            <w:tcBorders>
              <w:top w:val="single" w:sz="8" w:space="0" w:color="000000"/>
              <w:left w:val="nil"/>
              <w:bottom w:val="single" w:sz="8" w:space="0" w:color="000000"/>
              <w:right w:val="single" w:sz="8" w:space="0" w:color="000000"/>
            </w:tcBorders>
            <w:shd w:val="clear" w:color="auto" w:fill="auto"/>
          </w:tcPr>
          <w:p w14:paraId="4A6D006C"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Considera-se a percepção de usuários em um único local e em um momento pontual. Desse modo, sugerem-se investigações do tipo longitudinal e de abordagem quantitativa , tendo como objetos a avaliação dos usuários e trabalhador es sobre o ACCR e, também, a precisão da classificação realizada pelos profissionais.</w:t>
            </w:r>
          </w:p>
        </w:tc>
        <w:tc>
          <w:tcPr>
            <w:tcW w:w="2598" w:type="dxa"/>
            <w:tcBorders>
              <w:top w:val="single" w:sz="8" w:space="0" w:color="000000"/>
              <w:left w:val="nil"/>
              <w:bottom w:val="single" w:sz="8" w:space="0" w:color="000000"/>
              <w:right w:val="single" w:sz="8" w:space="0" w:color="000000"/>
            </w:tcBorders>
            <w:shd w:val="clear" w:color="auto" w:fill="auto"/>
          </w:tcPr>
          <w:p w14:paraId="52B60D7E"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Apreender a percepção de usuários de uma unidade emergencial sobre o atendimento embasado no Acolhimento com Classificação de Risco.</w:t>
            </w:r>
          </w:p>
        </w:tc>
      </w:tr>
      <w:tr w:rsidR="00787BF7" w14:paraId="1C327773" w14:textId="77777777">
        <w:trPr>
          <w:cantSplit/>
          <w:trHeight w:val="2821"/>
        </w:trPr>
        <w:tc>
          <w:tcPr>
            <w:tcW w:w="2062" w:type="dxa"/>
            <w:tcBorders>
              <w:top w:val="nil"/>
              <w:left w:val="single" w:sz="8" w:space="0" w:color="000000"/>
              <w:bottom w:val="single" w:sz="8" w:space="0" w:color="000000"/>
              <w:right w:val="single" w:sz="8" w:space="0" w:color="000000"/>
            </w:tcBorders>
            <w:shd w:val="clear" w:color="auto" w:fill="auto"/>
          </w:tcPr>
          <w:p w14:paraId="39DC1B57"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6. Atuação do enfermeiro no acolhimento com classificação de risco: caracterização do atendimento mediante protocolos: uma revisão da literatura.</w:t>
            </w:r>
          </w:p>
        </w:tc>
        <w:tc>
          <w:tcPr>
            <w:tcW w:w="1961" w:type="dxa"/>
            <w:tcBorders>
              <w:top w:val="nil"/>
              <w:left w:val="nil"/>
              <w:bottom w:val="single" w:sz="8" w:space="0" w:color="000000"/>
              <w:right w:val="single" w:sz="8" w:space="0" w:color="000000"/>
            </w:tcBorders>
            <w:shd w:val="clear" w:color="auto" w:fill="auto"/>
          </w:tcPr>
          <w:p w14:paraId="4C11BCEF"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 xml:space="preserve">Nunes </w:t>
            </w:r>
            <w:r>
              <w:rPr>
                <w:rFonts w:ascii="Arial" w:eastAsia="Arial" w:hAnsi="Arial" w:cs="Arial"/>
                <w:i/>
                <w:sz w:val="20"/>
                <w:szCs w:val="20"/>
              </w:rPr>
              <w:t>et al.</w:t>
            </w:r>
            <w:r>
              <w:rPr>
                <w:rFonts w:ascii="Arial" w:eastAsia="Arial" w:hAnsi="Arial" w:cs="Arial"/>
                <w:sz w:val="20"/>
                <w:szCs w:val="20"/>
              </w:rPr>
              <w:t xml:space="preserve"> (2017)</w:t>
            </w:r>
          </w:p>
        </w:tc>
        <w:tc>
          <w:tcPr>
            <w:tcW w:w="1675" w:type="dxa"/>
            <w:tcBorders>
              <w:top w:val="nil"/>
              <w:left w:val="nil"/>
              <w:bottom w:val="single" w:sz="8" w:space="0" w:color="000000"/>
              <w:right w:val="single" w:sz="8" w:space="0" w:color="000000"/>
            </w:tcBorders>
            <w:shd w:val="clear" w:color="auto" w:fill="auto"/>
          </w:tcPr>
          <w:p w14:paraId="5F89FEFB"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Revista eletrônica de trabalhos acadêmicos Universo</w:t>
            </w:r>
          </w:p>
        </w:tc>
        <w:tc>
          <w:tcPr>
            <w:tcW w:w="1947" w:type="dxa"/>
            <w:tcBorders>
              <w:top w:val="nil"/>
              <w:left w:val="nil"/>
              <w:bottom w:val="single" w:sz="8" w:space="0" w:color="000000"/>
              <w:right w:val="single" w:sz="8" w:space="0" w:color="000000"/>
            </w:tcBorders>
            <w:shd w:val="clear" w:color="auto" w:fill="auto"/>
          </w:tcPr>
          <w:p w14:paraId="4C07BB13"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Estudo exploratório descritivo, com abordagem qualitativa.</w:t>
            </w:r>
          </w:p>
        </w:tc>
        <w:tc>
          <w:tcPr>
            <w:tcW w:w="3742" w:type="dxa"/>
            <w:tcBorders>
              <w:top w:val="nil"/>
              <w:left w:val="nil"/>
              <w:bottom w:val="single" w:sz="8" w:space="0" w:color="000000"/>
              <w:right w:val="single" w:sz="8" w:space="0" w:color="000000"/>
            </w:tcBorders>
            <w:shd w:val="clear" w:color="auto" w:fill="auto"/>
          </w:tcPr>
          <w:p w14:paraId="5FA0A436"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Os resultados evidenciaram que as principais atuações do enfermeiro na unidade de urgência e emergência na Classificação de risco foram: anamnese, avaliação geral, classificação de risco, identificação da queixa principal,  utilização de fluxograma s e protocolos de atendimento, identificação de diagnóstico s de enfermagem, acolher e orientar, tomada de decisão, encaminha mento, priorização do atendimento, gerência do caso e reavaliação do paciente.</w:t>
            </w:r>
          </w:p>
        </w:tc>
        <w:tc>
          <w:tcPr>
            <w:tcW w:w="2598" w:type="dxa"/>
            <w:tcBorders>
              <w:top w:val="nil"/>
              <w:left w:val="nil"/>
              <w:bottom w:val="single" w:sz="8" w:space="0" w:color="000000"/>
              <w:right w:val="single" w:sz="8" w:space="0" w:color="000000"/>
            </w:tcBorders>
            <w:shd w:val="clear" w:color="auto" w:fill="auto"/>
          </w:tcPr>
          <w:p w14:paraId="30C8A36E"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Analisar a atuação do enfermeiro no processo de execução do Acolhimento Com Classificação de Risco (ACCR) mediante protocolos disponíveis.</w:t>
            </w:r>
          </w:p>
        </w:tc>
      </w:tr>
      <w:tr w:rsidR="00787BF7" w14:paraId="6E957A23" w14:textId="77777777">
        <w:trPr>
          <w:cantSplit/>
          <w:trHeight w:val="1644"/>
        </w:trPr>
        <w:tc>
          <w:tcPr>
            <w:tcW w:w="2062" w:type="dxa"/>
            <w:tcBorders>
              <w:top w:val="nil"/>
              <w:left w:val="single" w:sz="8" w:space="0" w:color="000000"/>
              <w:bottom w:val="single" w:sz="4" w:space="0" w:color="000000"/>
              <w:right w:val="single" w:sz="8" w:space="0" w:color="000000"/>
            </w:tcBorders>
            <w:shd w:val="clear" w:color="auto" w:fill="auto"/>
          </w:tcPr>
          <w:p w14:paraId="571D2B00"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7. Protocolo de Manchester e população usuária na classificação de risco: visão do enfermeiro.</w:t>
            </w:r>
          </w:p>
        </w:tc>
        <w:tc>
          <w:tcPr>
            <w:tcW w:w="1961" w:type="dxa"/>
            <w:tcBorders>
              <w:top w:val="nil"/>
              <w:left w:val="nil"/>
              <w:bottom w:val="single" w:sz="4" w:space="0" w:color="000000"/>
              <w:right w:val="single" w:sz="8" w:space="0" w:color="000000"/>
            </w:tcBorders>
            <w:shd w:val="clear" w:color="auto" w:fill="auto"/>
          </w:tcPr>
          <w:p w14:paraId="15078FFF"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 xml:space="preserve">Roncalli </w:t>
            </w:r>
            <w:r>
              <w:rPr>
                <w:rFonts w:ascii="Arial" w:eastAsia="Arial" w:hAnsi="Arial" w:cs="Arial"/>
                <w:i/>
                <w:sz w:val="20"/>
                <w:szCs w:val="20"/>
              </w:rPr>
              <w:t>et al.</w:t>
            </w:r>
            <w:r>
              <w:rPr>
                <w:rFonts w:ascii="Arial" w:eastAsia="Arial" w:hAnsi="Arial" w:cs="Arial"/>
                <w:sz w:val="20"/>
                <w:szCs w:val="20"/>
              </w:rPr>
              <w:t xml:space="preserve"> (2017)</w:t>
            </w:r>
          </w:p>
        </w:tc>
        <w:tc>
          <w:tcPr>
            <w:tcW w:w="1675" w:type="dxa"/>
            <w:tcBorders>
              <w:top w:val="nil"/>
              <w:left w:val="nil"/>
              <w:bottom w:val="single" w:sz="4" w:space="0" w:color="000000"/>
              <w:right w:val="single" w:sz="8" w:space="0" w:color="000000"/>
            </w:tcBorders>
            <w:shd w:val="clear" w:color="auto" w:fill="auto"/>
          </w:tcPr>
          <w:p w14:paraId="5E2BD9D0"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Revista Baiana de Enfermagem.</w:t>
            </w:r>
          </w:p>
        </w:tc>
        <w:tc>
          <w:tcPr>
            <w:tcW w:w="1947" w:type="dxa"/>
            <w:tcBorders>
              <w:top w:val="nil"/>
              <w:left w:val="nil"/>
              <w:bottom w:val="single" w:sz="4" w:space="0" w:color="000000"/>
              <w:right w:val="single" w:sz="8" w:space="0" w:color="000000"/>
            </w:tcBorders>
            <w:shd w:val="clear" w:color="auto" w:fill="auto"/>
          </w:tcPr>
          <w:p w14:paraId="534FF8E5"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Estudo de caso qualitativo.</w:t>
            </w:r>
          </w:p>
        </w:tc>
        <w:tc>
          <w:tcPr>
            <w:tcW w:w="3742" w:type="dxa"/>
            <w:tcBorders>
              <w:top w:val="nil"/>
              <w:left w:val="nil"/>
              <w:bottom w:val="single" w:sz="4" w:space="0" w:color="000000"/>
              <w:right w:val="single" w:sz="8" w:space="0" w:color="000000"/>
            </w:tcBorders>
            <w:shd w:val="clear" w:color="auto" w:fill="auto"/>
          </w:tcPr>
          <w:p w14:paraId="3E0C5E74"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Encontrado s desafios para a concretização da classificação de risco como uma  estratégia acolhedora e equânime das demandas, o enfermeiro entendia que o protocolo de Manchester trazia segurança para a prática e a qualidade da atenção prestada.</w:t>
            </w:r>
          </w:p>
        </w:tc>
        <w:tc>
          <w:tcPr>
            <w:tcW w:w="2598" w:type="dxa"/>
            <w:tcBorders>
              <w:top w:val="nil"/>
              <w:left w:val="nil"/>
              <w:bottom w:val="single" w:sz="4" w:space="0" w:color="000000"/>
              <w:right w:val="single" w:sz="8" w:space="0" w:color="000000"/>
            </w:tcBorders>
            <w:shd w:val="clear" w:color="auto" w:fill="auto"/>
          </w:tcPr>
          <w:p w14:paraId="7B906C3E"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Compreender a visão do enfermeiro sobre a utilização do protocolo de Manchester e a população usuária na classificação de risco de uma Unidade de Pronto Atendimento</w:t>
            </w:r>
          </w:p>
        </w:tc>
      </w:tr>
      <w:tr w:rsidR="00787BF7" w14:paraId="3F9A0003" w14:textId="77777777">
        <w:trPr>
          <w:cantSplit/>
          <w:trHeight w:val="5329"/>
        </w:trPr>
        <w:tc>
          <w:tcPr>
            <w:tcW w:w="2062" w:type="dxa"/>
            <w:tcBorders>
              <w:top w:val="single" w:sz="4" w:space="0" w:color="000000"/>
              <w:left w:val="single" w:sz="8" w:space="0" w:color="000000"/>
              <w:bottom w:val="single" w:sz="4" w:space="0" w:color="000000"/>
              <w:right w:val="single" w:sz="8" w:space="0" w:color="000000"/>
            </w:tcBorders>
            <w:shd w:val="clear" w:color="auto" w:fill="auto"/>
          </w:tcPr>
          <w:p w14:paraId="777B750A"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8. Implantação do Sistema de Classificação de Risco Manchester em uma rede municipal de urgência.</w:t>
            </w:r>
          </w:p>
        </w:tc>
        <w:tc>
          <w:tcPr>
            <w:tcW w:w="1961" w:type="dxa"/>
            <w:tcBorders>
              <w:top w:val="single" w:sz="4" w:space="0" w:color="000000"/>
              <w:left w:val="nil"/>
              <w:bottom w:val="single" w:sz="4" w:space="0" w:color="000000"/>
              <w:right w:val="single" w:sz="8" w:space="0" w:color="000000"/>
            </w:tcBorders>
            <w:shd w:val="clear" w:color="auto" w:fill="auto"/>
          </w:tcPr>
          <w:p w14:paraId="5646093A"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 xml:space="preserve">Sacoman </w:t>
            </w:r>
            <w:r>
              <w:rPr>
                <w:rFonts w:ascii="Arial" w:eastAsia="Arial" w:hAnsi="Arial" w:cs="Arial"/>
                <w:i/>
                <w:sz w:val="20"/>
                <w:szCs w:val="20"/>
              </w:rPr>
              <w:t>et al.</w:t>
            </w:r>
            <w:r>
              <w:rPr>
                <w:rFonts w:ascii="Arial" w:eastAsia="Arial" w:hAnsi="Arial" w:cs="Arial"/>
                <w:sz w:val="20"/>
                <w:szCs w:val="20"/>
              </w:rPr>
              <w:t xml:space="preserve"> (2019)</w:t>
            </w:r>
          </w:p>
        </w:tc>
        <w:tc>
          <w:tcPr>
            <w:tcW w:w="1675" w:type="dxa"/>
            <w:tcBorders>
              <w:top w:val="single" w:sz="4" w:space="0" w:color="000000"/>
              <w:left w:val="nil"/>
              <w:bottom w:val="single" w:sz="4" w:space="0" w:color="000000"/>
              <w:right w:val="single" w:sz="8" w:space="0" w:color="000000"/>
            </w:tcBorders>
            <w:shd w:val="clear" w:color="auto" w:fill="auto"/>
          </w:tcPr>
          <w:p w14:paraId="57DCD501"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Saúde em Debate</w:t>
            </w:r>
          </w:p>
        </w:tc>
        <w:tc>
          <w:tcPr>
            <w:tcW w:w="1947" w:type="dxa"/>
            <w:tcBorders>
              <w:top w:val="single" w:sz="4" w:space="0" w:color="000000"/>
              <w:left w:val="nil"/>
              <w:bottom w:val="single" w:sz="4" w:space="0" w:color="000000"/>
              <w:right w:val="single" w:sz="8" w:space="0" w:color="000000"/>
            </w:tcBorders>
            <w:shd w:val="clear" w:color="auto" w:fill="auto"/>
          </w:tcPr>
          <w:p w14:paraId="4DE46686"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Estudo exploratório descritivo, com abordagem qualitativa.</w:t>
            </w:r>
          </w:p>
        </w:tc>
        <w:tc>
          <w:tcPr>
            <w:tcW w:w="3742" w:type="dxa"/>
            <w:tcBorders>
              <w:top w:val="single" w:sz="4" w:space="0" w:color="000000"/>
              <w:left w:val="nil"/>
              <w:bottom w:val="single" w:sz="4" w:space="0" w:color="000000"/>
              <w:right w:val="single" w:sz="8" w:space="0" w:color="000000"/>
            </w:tcBorders>
            <w:shd w:val="clear" w:color="auto" w:fill="auto"/>
          </w:tcPr>
          <w:p w14:paraId="4E3DF061"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O trabalho apresentado provoca, ainda, a pensar outras questões: o protagonismo da enfermagem no cuidado é capaz de alterar a relação desse profissional com os médicos? Que mudanças provoca na relação com outros membros da equipe? Como essa mudança tem sido operada e percebida pelos médicos? Que resistência s são identificada s? O SCRM incide sobre a autonomia médica? São perguntas em aberto. Mas elas não param por aí, pois é preciso, também, entender como e se tal tecnologia de cuidado impacta na produção do cuidado para o usuário. Que estratégias os usuários têm realizado para o acesso que tanto almejam para produzir seu cuidado, a partir dessa nova tecnologia, que pode ser vista como a criação de uma nova barreira? Eles incorporam o SCRM no cômputo do seu agir para produzir o cuidado que buscam?</w:t>
            </w:r>
          </w:p>
        </w:tc>
        <w:tc>
          <w:tcPr>
            <w:tcW w:w="2598" w:type="dxa"/>
            <w:tcBorders>
              <w:top w:val="single" w:sz="4" w:space="0" w:color="000000"/>
              <w:left w:val="nil"/>
              <w:bottom w:val="single" w:sz="4" w:space="0" w:color="000000"/>
              <w:right w:val="single" w:sz="8" w:space="0" w:color="000000"/>
            </w:tcBorders>
            <w:shd w:val="clear" w:color="auto" w:fill="auto"/>
          </w:tcPr>
          <w:p w14:paraId="393BA0F1"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Analisa a implantação do Sistema de Classificação de Risco Manchester em uma rede municipal de urgência e emergência da região metropolitana de São Paulo, a maior do hemisfério Sul, e permite compreender como o aprimoramento do uso da classificação de risco, prevista em diversas políticas do Sistema Único de Saúde, pode se constituir em potente tecnologia aplicada à gestão do cuidado e dos serviços de urgência e emergência.</w:t>
            </w:r>
          </w:p>
        </w:tc>
      </w:tr>
      <w:tr w:rsidR="00787BF7" w14:paraId="59B6F46A" w14:textId="77777777">
        <w:trPr>
          <w:cantSplit/>
          <w:trHeight w:val="2253"/>
        </w:trPr>
        <w:tc>
          <w:tcPr>
            <w:tcW w:w="2062" w:type="dxa"/>
            <w:tcBorders>
              <w:top w:val="single" w:sz="4" w:space="0" w:color="000000"/>
              <w:left w:val="single" w:sz="8" w:space="0" w:color="000000"/>
              <w:bottom w:val="single" w:sz="8" w:space="0" w:color="000000"/>
              <w:right w:val="single" w:sz="8" w:space="0" w:color="000000"/>
            </w:tcBorders>
            <w:shd w:val="clear" w:color="auto" w:fill="auto"/>
          </w:tcPr>
          <w:p w14:paraId="11FF515A"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9. A eficácia da aplicação do protocolo de Manchester na classificação de risco em unidades de pronto atendimento: uma revisão sistemática.</w:t>
            </w:r>
          </w:p>
        </w:tc>
        <w:tc>
          <w:tcPr>
            <w:tcW w:w="1961" w:type="dxa"/>
            <w:tcBorders>
              <w:top w:val="single" w:sz="4" w:space="0" w:color="000000"/>
              <w:left w:val="nil"/>
              <w:bottom w:val="single" w:sz="8" w:space="0" w:color="000000"/>
              <w:right w:val="single" w:sz="8" w:space="0" w:color="000000"/>
            </w:tcBorders>
            <w:shd w:val="clear" w:color="auto" w:fill="auto"/>
          </w:tcPr>
          <w:p w14:paraId="0AE0B082"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 xml:space="preserve">Costa </w:t>
            </w:r>
            <w:r>
              <w:rPr>
                <w:rFonts w:ascii="Arial" w:eastAsia="Arial" w:hAnsi="Arial" w:cs="Arial"/>
                <w:i/>
                <w:sz w:val="20"/>
                <w:szCs w:val="20"/>
              </w:rPr>
              <w:t>et al.</w:t>
            </w:r>
            <w:r>
              <w:rPr>
                <w:rFonts w:ascii="Arial" w:eastAsia="Arial" w:hAnsi="Arial" w:cs="Arial"/>
                <w:sz w:val="20"/>
                <w:szCs w:val="20"/>
              </w:rPr>
              <w:t xml:space="preserve"> (2021)</w:t>
            </w:r>
          </w:p>
        </w:tc>
        <w:tc>
          <w:tcPr>
            <w:tcW w:w="1675" w:type="dxa"/>
            <w:tcBorders>
              <w:top w:val="single" w:sz="4" w:space="0" w:color="000000"/>
              <w:left w:val="nil"/>
              <w:bottom w:val="single" w:sz="8" w:space="0" w:color="000000"/>
              <w:right w:val="single" w:sz="8" w:space="0" w:color="000000"/>
            </w:tcBorders>
            <w:shd w:val="clear" w:color="auto" w:fill="auto"/>
          </w:tcPr>
          <w:p w14:paraId="68E0114A"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Revista Saúde Multidisciplinar</w:t>
            </w:r>
          </w:p>
        </w:tc>
        <w:tc>
          <w:tcPr>
            <w:tcW w:w="1947" w:type="dxa"/>
            <w:tcBorders>
              <w:top w:val="single" w:sz="4" w:space="0" w:color="000000"/>
              <w:left w:val="nil"/>
              <w:bottom w:val="single" w:sz="8" w:space="0" w:color="000000"/>
              <w:right w:val="single" w:sz="8" w:space="0" w:color="000000"/>
            </w:tcBorders>
            <w:shd w:val="clear" w:color="auto" w:fill="auto"/>
          </w:tcPr>
          <w:p w14:paraId="77042835"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Estudo de Revisão Sistemática da Literatura.</w:t>
            </w:r>
          </w:p>
        </w:tc>
        <w:tc>
          <w:tcPr>
            <w:tcW w:w="3742" w:type="dxa"/>
            <w:tcBorders>
              <w:top w:val="single" w:sz="4" w:space="0" w:color="000000"/>
              <w:left w:val="nil"/>
              <w:bottom w:val="single" w:sz="8" w:space="0" w:color="000000"/>
              <w:right w:val="single" w:sz="8" w:space="0" w:color="000000"/>
            </w:tcBorders>
            <w:shd w:val="clear" w:color="auto" w:fill="auto"/>
          </w:tcPr>
          <w:p w14:paraId="758781C5"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O Protocolo de Manchester possui uma eficácia notável na classificação de risco de UE nas UPAs. Sendo assim, contribui claramente para melhor organização do fluxo dos pacientes e para diminuição nas taxas de morbimorta lidade, já que os casos mais graves são priorizados e entendidos em menor tempo possível.</w:t>
            </w:r>
          </w:p>
        </w:tc>
        <w:tc>
          <w:tcPr>
            <w:tcW w:w="2598" w:type="dxa"/>
            <w:tcBorders>
              <w:top w:val="single" w:sz="4" w:space="0" w:color="000000"/>
              <w:left w:val="nil"/>
              <w:bottom w:val="single" w:sz="8" w:space="0" w:color="000000"/>
              <w:right w:val="single" w:sz="8" w:space="0" w:color="000000"/>
            </w:tcBorders>
            <w:shd w:val="clear" w:color="auto" w:fill="auto"/>
          </w:tcPr>
          <w:p w14:paraId="6A8A60F8"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Avaliar o funcionamento e a eficácia do Protocolo de Manchester em diferentes unidades de pronto atendimento.</w:t>
            </w:r>
          </w:p>
        </w:tc>
      </w:tr>
      <w:tr w:rsidR="00787BF7" w14:paraId="66403C18" w14:textId="77777777">
        <w:trPr>
          <w:cantSplit/>
          <w:trHeight w:val="2104"/>
        </w:trPr>
        <w:tc>
          <w:tcPr>
            <w:tcW w:w="2062" w:type="dxa"/>
            <w:tcBorders>
              <w:top w:val="nil"/>
              <w:left w:val="single" w:sz="8" w:space="0" w:color="000000"/>
              <w:bottom w:val="nil"/>
              <w:right w:val="single" w:sz="8" w:space="0" w:color="000000"/>
            </w:tcBorders>
            <w:shd w:val="clear" w:color="auto" w:fill="auto"/>
          </w:tcPr>
          <w:p w14:paraId="5ACB7D0B"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10. O papel do  enfermeiro na classificação de risco na urgência e emergência baseado no protocolo de Manchester.</w:t>
            </w:r>
          </w:p>
        </w:tc>
        <w:tc>
          <w:tcPr>
            <w:tcW w:w="1961" w:type="dxa"/>
            <w:tcBorders>
              <w:top w:val="nil"/>
              <w:left w:val="nil"/>
              <w:bottom w:val="nil"/>
              <w:right w:val="single" w:sz="8" w:space="0" w:color="000000"/>
            </w:tcBorders>
            <w:shd w:val="clear" w:color="auto" w:fill="auto"/>
          </w:tcPr>
          <w:p w14:paraId="4B88F679"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Bramatti, Ferreira  e Silva (2021)</w:t>
            </w:r>
          </w:p>
        </w:tc>
        <w:tc>
          <w:tcPr>
            <w:tcW w:w="1675" w:type="dxa"/>
            <w:tcBorders>
              <w:top w:val="nil"/>
              <w:left w:val="nil"/>
              <w:bottom w:val="nil"/>
              <w:right w:val="single" w:sz="8" w:space="0" w:color="000000"/>
            </w:tcBorders>
            <w:shd w:val="clear" w:color="auto" w:fill="auto"/>
          </w:tcPr>
          <w:p w14:paraId="606453E0"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ECCI</w:t>
            </w:r>
          </w:p>
        </w:tc>
        <w:tc>
          <w:tcPr>
            <w:tcW w:w="1947" w:type="dxa"/>
            <w:tcBorders>
              <w:top w:val="nil"/>
              <w:left w:val="nil"/>
              <w:bottom w:val="nil"/>
              <w:right w:val="single" w:sz="8" w:space="0" w:color="000000"/>
            </w:tcBorders>
            <w:shd w:val="clear" w:color="auto" w:fill="auto"/>
          </w:tcPr>
          <w:p w14:paraId="03F2A300"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Qualitativa, de cunho exploratório-descritivo.</w:t>
            </w:r>
          </w:p>
        </w:tc>
        <w:tc>
          <w:tcPr>
            <w:tcW w:w="3742" w:type="dxa"/>
            <w:tcBorders>
              <w:top w:val="nil"/>
              <w:left w:val="nil"/>
              <w:bottom w:val="nil"/>
              <w:right w:val="single" w:sz="8" w:space="0" w:color="000000"/>
            </w:tcBorders>
            <w:shd w:val="clear" w:color="auto" w:fill="auto"/>
          </w:tcPr>
          <w:p w14:paraId="0E63FCB0"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Observou-se que os profissionais de Enfermagem desempenham com coerência e equidade o processo de classificação de risco, todavia, deve-se investir mais em cursos e formações continuadas durante a profissão. Ademais, faz-se necessário a disponibilidade de um local apropriado para tal procedimento.</w:t>
            </w:r>
          </w:p>
        </w:tc>
        <w:tc>
          <w:tcPr>
            <w:tcW w:w="2598" w:type="dxa"/>
            <w:tcBorders>
              <w:top w:val="nil"/>
              <w:left w:val="nil"/>
              <w:bottom w:val="nil"/>
              <w:right w:val="single" w:sz="8" w:space="0" w:color="000000"/>
            </w:tcBorders>
            <w:shd w:val="clear" w:color="auto" w:fill="auto"/>
          </w:tcPr>
          <w:p w14:paraId="2CE19C91"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Avaliar o grau de conhecimento dos profissionais de saúde no que confere ao protocolo de Manchester, criado para amenizar as situações de superlotação, assim como apresentar as principais dificuldades dos enfermeiros em relação ao referido protocolo.</w:t>
            </w:r>
          </w:p>
        </w:tc>
      </w:tr>
      <w:tr w:rsidR="00787BF7" w14:paraId="2A8159C6" w14:textId="77777777">
        <w:trPr>
          <w:cantSplit/>
          <w:trHeight w:val="1261"/>
        </w:trPr>
        <w:tc>
          <w:tcPr>
            <w:tcW w:w="2062" w:type="dxa"/>
            <w:tcBorders>
              <w:top w:val="single" w:sz="8" w:space="0" w:color="000000"/>
              <w:left w:val="single" w:sz="8" w:space="0" w:color="000000"/>
              <w:bottom w:val="single" w:sz="8" w:space="0" w:color="000000"/>
              <w:right w:val="single" w:sz="8" w:space="0" w:color="000000"/>
            </w:tcBorders>
            <w:shd w:val="clear" w:color="auto" w:fill="auto"/>
          </w:tcPr>
          <w:p w14:paraId="494E4141"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11. Percepção de usuários de um pronto atendimento 24 horas acerca da classificação de risco.</w:t>
            </w:r>
          </w:p>
        </w:tc>
        <w:tc>
          <w:tcPr>
            <w:tcW w:w="1961" w:type="dxa"/>
            <w:tcBorders>
              <w:top w:val="single" w:sz="8" w:space="0" w:color="000000"/>
              <w:left w:val="nil"/>
              <w:bottom w:val="single" w:sz="8" w:space="0" w:color="000000"/>
              <w:right w:val="single" w:sz="8" w:space="0" w:color="000000"/>
            </w:tcBorders>
            <w:shd w:val="clear" w:color="auto" w:fill="auto"/>
          </w:tcPr>
          <w:p w14:paraId="5A2A40F7"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 xml:space="preserve">Cesar </w:t>
            </w:r>
            <w:r>
              <w:rPr>
                <w:rFonts w:ascii="Arial" w:eastAsia="Arial" w:hAnsi="Arial" w:cs="Arial"/>
                <w:i/>
                <w:sz w:val="20"/>
                <w:szCs w:val="20"/>
              </w:rPr>
              <w:t>et al.</w:t>
            </w:r>
            <w:r>
              <w:rPr>
                <w:rFonts w:ascii="Arial" w:eastAsia="Arial" w:hAnsi="Arial" w:cs="Arial"/>
                <w:sz w:val="20"/>
                <w:szCs w:val="20"/>
              </w:rPr>
              <w:t xml:space="preserve"> (2021)</w:t>
            </w:r>
          </w:p>
        </w:tc>
        <w:tc>
          <w:tcPr>
            <w:tcW w:w="1675" w:type="dxa"/>
            <w:tcBorders>
              <w:top w:val="single" w:sz="8" w:space="0" w:color="000000"/>
              <w:left w:val="nil"/>
              <w:bottom w:val="single" w:sz="8" w:space="0" w:color="000000"/>
              <w:right w:val="single" w:sz="8" w:space="0" w:color="000000"/>
            </w:tcBorders>
            <w:shd w:val="clear" w:color="auto" w:fill="auto"/>
          </w:tcPr>
          <w:p w14:paraId="220B2238"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Revista de Pesquisa Cuidado É Fundamental Online</w:t>
            </w:r>
          </w:p>
        </w:tc>
        <w:tc>
          <w:tcPr>
            <w:tcW w:w="1947" w:type="dxa"/>
            <w:tcBorders>
              <w:top w:val="single" w:sz="8" w:space="0" w:color="000000"/>
              <w:left w:val="nil"/>
              <w:bottom w:val="single" w:sz="8" w:space="0" w:color="000000"/>
              <w:right w:val="single" w:sz="8" w:space="0" w:color="000000"/>
            </w:tcBorders>
            <w:shd w:val="clear" w:color="auto" w:fill="auto"/>
          </w:tcPr>
          <w:p w14:paraId="202C73B2"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Pesquisa de abordagem qualitativa, de caráter exploratório-descritivo.</w:t>
            </w:r>
          </w:p>
        </w:tc>
        <w:tc>
          <w:tcPr>
            <w:tcW w:w="3742" w:type="dxa"/>
            <w:tcBorders>
              <w:top w:val="single" w:sz="8" w:space="0" w:color="000000"/>
              <w:left w:val="nil"/>
              <w:bottom w:val="single" w:sz="8" w:space="0" w:color="000000"/>
              <w:right w:val="single" w:sz="8" w:space="0" w:color="000000"/>
            </w:tcBorders>
            <w:shd w:val="clear" w:color="auto" w:fill="auto"/>
          </w:tcPr>
          <w:p w14:paraId="645F33BA"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Perceber que o conhecimento que os usuários possuem sobre o serviço de pronto atendimento é escasso e a classificação de riscos e apresenta como uma lacuna no conhecimento.</w:t>
            </w:r>
          </w:p>
        </w:tc>
        <w:tc>
          <w:tcPr>
            <w:tcW w:w="2598" w:type="dxa"/>
            <w:tcBorders>
              <w:top w:val="single" w:sz="8" w:space="0" w:color="000000"/>
              <w:left w:val="nil"/>
              <w:bottom w:val="single" w:sz="8" w:space="0" w:color="000000"/>
              <w:right w:val="single" w:sz="8" w:space="0" w:color="000000"/>
            </w:tcBorders>
            <w:shd w:val="clear" w:color="auto" w:fill="auto"/>
          </w:tcPr>
          <w:p w14:paraId="33504C06"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Compreender o que os usuários de uma Unidade de Pronto Atendimento 24 horas entendem por classificação de risco.</w:t>
            </w:r>
          </w:p>
        </w:tc>
      </w:tr>
      <w:tr w:rsidR="00787BF7" w14:paraId="33E26B04" w14:textId="77777777">
        <w:trPr>
          <w:cantSplit/>
          <w:trHeight w:val="411"/>
        </w:trPr>
        <w:tc>
          <w:tcPr>
            <w:tcW w:w="2062" w:type="dxa"/>
            <w:tcBorders>
              <w:top w:val="nil"/>
              <w:left w:val="single" w:sz="8" w:space="0" w:color="000000"/>
              <w:bottom w:val="single" w:sz="8" w:space="0" w:color="000000"/>
              <w:right w:val="single" w:sz="8" w:space="0" w:color="000000"/>
            </w:tcBorders>
            <w:shd w:val="clear" w:color="auto" w:fill="auto"/>
          </w:tcPr>
          <w:p w14:paraId="3F5DC15E"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12. Protocolo de Manchester: implementação e execução.</w:t>
            </w:r>
          </w:p>
        </w:tc>
        <w:tc>
          <w:tcPr>
            <w:tcW w:w="1961" w:type="dxa"/>
            <w:tcBorders>
              <w:top w:val="nil"/>
              <w:left w:val="nil"/>
              <w:bottom w:val="single" w:sz="8" w:space="0" w:color="000000"/>
              <w:right w:val="single" w:sz="8" w:space="0" w:color="000000"/>
            </w:tcBorders>
            <w:shd w:val="clear" w:color="auto" w:fill="auto"/>
          </w:tcPr>
          <w:p w14:paraId="0AD01515"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 xml:space="preserve">Silva </w:t>
            </w:r>
            <w:r>
              <w:rPr>
                <w:rFonts w:ascii="Arial" w:eastAsia="Arial" w:hAnsi="Arial" w:cs="Arial"/>
                <w:i/>
                <w:sz w:val="20"/>
                <w:szCs w:val="20"/>
              </w:rPr>
              <w:t>et al.</w:t>
            </w:r>
            <w:r>
              <w:rPr>
                <w:rFonts w:ascii="Arial" w:eastAsia="Arial" w:hAnsi="Arial" w:cs="Arial"/>
                <w:sz w:val="20"/>
                <w:szCs w:val="20"/>
              </w:rPr>
              <w:t xml:space="preserve"> (2021)</w:t>
            </w:r>
          </w:p>
        </w:tc>
        <w:tc>
          <w:tcPr>
            <w:tcW w:w="1675" w:type="dxa"/>
            <w:tcBorders>
              <w:top w:val="nil"/>
              <w:left w:val="nil"/>
              <w:bottom w:val="single" w:sz="8" w:space="0" w:color="000000"/>
              <w:right w:val="single" w:sz="8" w:space="0" w:color="000000"/>
            </w:tcBorders>
            <w:shd w:val="clear" w:color="auto" w:fill="auto"/>
          </w:tcPr>
          <w:p w14:paraId="6BC5899D" w14:textId="77777777" w:rsidR="00787BF7" w:rsidRDefault="00000000">
            <w:pPr>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Revista Gestão &amp; Tecnologia</w:t>
            </w:r>
          </w:p>
        </w:tc>
        <w:tc>
          <w:tcPr>
            <w:tcW w:w="1947" w:type="dxa"/>
            <w:tcBorders>
              <w:top w:val="nil"/>
              <w:left w:val="nil"/>
              <w:bottom w:val="single" w:sz="8" w:space="0" w:color="000000"/>
              <w:right w:val="single" w:sz="8" w:space="0" w:color="000000"/>
            </w:tcBorders>
            <w:shd w:val="clear" w:color="auto" w:fill="auto"/>
          </w:tcPr>
          <w:p w14:paraId="143D34B7"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Pesquisa bibliográfica do tipo documental.</w:t>
            </w:r>
          </w:p>
        </w:tc>
        <w:tc>
          <w:tcPr>
            <w:tcW w:w="3742" w:type="dxa"/>
            <w:tcBorders>
              <w:top w:val="nil"/>
              <w:left w:val="nil"/>
              <w:bottom w:val="single" w:sz="8" w:space="0" w:color="000000"/>
              <w:right w:val="single" w:sz="8" w:space="0" w:color="000000"/>
            </w:tcBorders>
            <w:shd w:val="clear" w:color="auto" w:fill="auto"/>
          </w:tcPr>
          <w:p w14:paraId="0B1BFA85"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A realização do acolhimento com classificação de risco é uma prática de grande importância para a melhoria do atendimento das emergências, pois sem a adoção dessa ferramenta, podem-se observar grandes transtornos nesses serviços, falta de organização, mau gerenciamento e clientes descontentes, podendo acarretar até maiores agravos à saúde dessa população.</w:t>
            </w:r>
          </w:p>
        </w:tc>
        <w:tc>
          <w:tcPr>
            <w:tcW w:w="2598" w:type="dxa"/>
            <w:tcBorders>
              <w:top w:val="nil"/>
              <w:left w:val="nil"/>
              <w:bottom w:val="single" w:sz="8" w:space="0" w:color="000000"/>
              <w:right w:val="single" w:sz="8" w:space="0" w:color="000000"/>
            </w:tcBorders>
            <w:shd w:val="clear" w:color="auto" w:fill="auto"/>
          </w:tcPr>
          <w:p w14:paraId="4B666FF8" w14:textId="77777777" w:rsidR="00787BF7" w:rsidRDefault="00000000">
            <w:pPr>
              <w:spacing w:after="0" w:line="240" w:lineRule="auto"/>
              <w:rPr>
                <w:rFonts w:ascii="Arial" w:eastAsia="Arial" w:hAnsi="Arial" w:cs="Arial"/>
                <w:sz w:val="20"/>
                <w:szCs w:val="20"/>
              </w:rPr>
            </w:pPr>
            <w:r>
              <w:rPr>
                <w:rFonts w:ascii="Arial" w:eastAsia="Arial" w:hAnsi="Arial" w:cs="Arial"/>
                <w:sz w:val="20"/>
                <w:szCs w:val="20"/>
              </w:rPr>
              <w:t>Descrever as prioridades em função do nível de classificação do Protocolo de Manchester.</w:t>
            </w:r>
          </w:p>
        </w:tc>
      </w:tr>
    </w:tbl>
    <w:p w14:paraId="10303DD7" w14:textId="77777777" w:rsidR="00787BF7" w:rsidRDefault="00787BF7">
      <w:pPr>
        <w:pBdr>
          <w:top w:val="nil"/>
          <w:left w:val="nil"/>
          <w:bottom w:val="nil"/>
          <w:right w:val="nil"/>
          <w:between w:val="nil"/>
        </w:pBdr>
        <w:spacing w:after="0" w:line="240" w:lineRule="auto"/>
        <w:rPr>
          <w:rFonts w:ascii="Arial" w:eastAsia="Arial" w:hAnsi="Arial" w:cs="Arial"/>
          <w:sz w:val="20"/>
          <w:szCs w:val="20"/>
        </w:rPr>
      </w:pPr>
    </w:p>
    <w:p w14:paraId="25C11C3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C649C9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AD8E7B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E3DFF4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B76BED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sectPr w:rsidR="00787BF7">
          <w:pgSz w:w="16840" w:h="11907" w:orient="landscape"/>
          <w:pgMar w:top="1701" w:right="1134" w:bottom="1134" w:left="1701" w:header="851" w:footer="851" w:gutter="0"/>
          <w:cols w:space="720"/>
        </w:sectPr>
      </w:pPr>
    </w:p>
    <w:p w14:paraId="3584814B"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Segundo os artigos, a classificação de risco foi aprimorada com a entrada do protocolo Manchester, onde constitui em melhorar, bem como classificar por emergenciais a não urgentes os atendimentos em unidades de pronto atendimento. Visto que o enfermeiro tem como frente a classificação com qualidade e experiência em busca de conhecimentos constantes.</w:t>
      </w:r>
    </w:p>
    <w:p w14:paraId="3760FAC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E809628" w14:textId="77777777" w:rsidR="00787BF7" w:rsidRDefault="00000000">
      <w:pPr>
        <w:pStyle w:val="Ttulo2"/>
      </w:pPr>
      <w:bookmarkStart w:id="23" w:name="_heading=h.1ci93xb" w:colFirst="0" w:colLast="0"/>
      <w:bookmarkEnd w:id="23"/>
      <w:r>
        <w:t>4.2 A ATUAÇÃO DO ENFERMEIRO FRENTE À CLASSIFICAÇÃO DE RISCO</w:t>
      </w:r>
    </w:p>
    <w:p w14:paraId="460D406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56D1214"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A categorização de risco consiste em uma ferramenta que propõe ordem no atendimento, com o objetivo de garantir atenção imediata ao usuário que apresenta risco iminente de morte, bem como notificar os pacientes sobre a não ocorrência do risco, bem como o tempo de espera. Para cuidados dos pacientes, e também seus familiares (BRASIL, 2009).</w:t>
      </w:r>
    </w:p>
    <w:p w14:paraId="445B4E80"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Vale ressaltar que esta é uma atividade de total responsabilidade dos enfermeiros pois são necessários mais informações científicas sobre os riscos que os pacientes são acometidos dessa forma (COSTA, 2021).</w:t>
      </w:r>
    </w:p>
    <w:p w14:paraId="7DDF580B"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 enfermeiro para atuar na classificação de risco deve cumprir com alguns requisitos como: possuir conhecimento teórico (5,9) e habilidades pessoais, ser experiente (4), agil(4), ter tomada de decisões(4), organizar o serviço e o fluxo (1,6,8,11), capacitar a equipe de enfermagem (2,7,8,11), realizar cuidados de enfermagem durante a avaliação(2,10), promover ações gerenciais que visem a humanização (3,12) e principalmente estar sempre se atualizando (7)</w:t>
      </w:r>
    </w:p>
    <w:p w14:paraId="7C418C23"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Porém, com relação a experiência do profissional, um artigo (Artigo 5) aborda que não há evidências significativas entre a experiência profissional e a tomada de decisões na classificação de risco, pois segundo o autor vários fatores além da experiência, podem ser responsáveis pelas decisões dos profissionais.</w:t>
      </w:r>
    </w:p>
    <w:p w14:paraId="79AA1B83"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Em contrapartida, outro autor afirma que os profissionais que atuam na classificação de risco devem possuir um tempo considerável de atuação em emergências ou receber o devido treinamento para atuação no sistema BELLUCCI JÚNIOR; MATSUDA, 2012).</w:t>
      </w:r>
    </w:p>
    <w:p w14:paraId="0DEE7A16"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Os artigos 4 e 10 descrevem em etapas como deve ser a atuação do enfermeiro frente a classificação de risco. Para a avaliação do paciente, o autor sugere, primeiramente, a coleta de dados baseado na escuta dos antecedentes clínicos do paciente, assim como a queixa principal, após, realiza-se o exame físico visando identificar o reconhecimento de padrões anormais. A partir da realização da coleta de dados e do exame físico o enfermeiro pode então realizar a tomada de decisões em que a escuta qualificada e o julgamento clínico do paciente induz ao raciocínio lógico que determinará a priorização do atendimento.</w:t>
      </w:r>
    </w:p>
    <w:p w14:paraId="10CE5D76"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Cabe ressaltar que a cada dia os hospitais do Brasil vêm implantando protocolos para auxiliar os enfermeiros a classificar o risco, visando segurança do paciente e respaldo aos profissionais (SOUZA </w:t>
      </w:r>
      <w:r>
        <w:rPr>
          <w:rFonts w:ascii="Arial" w:eastAsia="Arial" w:hAnsi="Arial" w:cs="Arial"/>
          <w:i/>
          <w:sz w:val="24"/>
          <w:szCs w:val="24"/>
        </w:rPr>
        <w:t>et al.</w:t>
      </w:r>
      <w:r>
        <w:rPr>
          <w:rFonts w:ascii="Arial" w:eastAsia="Arial" w:hAnsi="Arial" w:cs="Arial"/>
          <w:sz w:val="24"/>
          <w:szCs w:val="24"/>
        </w:rPr>
        <w:t>, 2011).</w:t>
      </w:r>
    </w:p>
    <w:p w14:paraId="57E42593"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 Protocolo de Manchester é o mais utilizado no Brasil, caracterizado por conceitos internacionais; o mesmo tem como objetivo padronizar o atendimento das emergências ao estabelecer a necessidade de preferência do atendimento a partir da condição clínica do paciente. Para desenvolver atividades frente ao protocolo os enfermeiros necessitam de capacitação específica em protocolos informatizados (Artigo 7).</w:t>
      </w:r>
    </w:p>
    <w:p w14:paraId="66824A99"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Salienta-se que para realizar a implementação do Protocolo de Manchester é necessário capacitações, acompanhamentos e auditorias, além do cumprimento de algumas etapas primordiais para a implantação do sistema (GRUPO BRASILEIRO DE CR, 2013).</w:t>
      </w:r>
    </w:p>
    <w:p w14:paraId="2F74B363"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 mesmo estudo (Artigo 7) discute a resistência dos profissionais frente ao protocolo de classificação de risco, pois o mesmo é completo de novos conceitos que resultam em mudanças de paradigma, além do longo tempo de serviço profissional que o protocolo retém.</w:t>
      </w:r>
    </w:p>
    <w:p w14:paraId="2B12B4B5"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Assim sendo, observa-se que o Protocolo de Manchester é informatizado, porém direciona a classificação de risco em todos os serviços de urgência e emergência (SOUZA </w:t>
      </w:r>
      <w:r>
        <w:rPr>
          <w:rFonts w:ascii="Arial" w:eastAsia="Arial" w:hAnsi="Arial" w:cs="Arial"/>
          <w:i/>
          <w:sz w:val="24"/>
          <w:szCs w:val="24"/>
        </w:rPr>
        <w:t>et al.</w:t>
      </w:r>
      <w:r>
        <w:rPr>
          <w:rFonts w:ascii="Arial" w:eastAsia="Arial" w:hAnsi="Arial" w:cs="Arial"/>
          <w:sz w:val="24"/>
          <w:szCs w:val="24"/>
        </w:rPr>
        <w:t>, 2011).</w:t>
      </w:r>
    </w:p>
    <w:p w14:paraId="07AB5222"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Em consequência de ser um protocolo informatizado, os profissionais enfermeiros encontram dificuldades diante a classificação de risco, assim como pontos positivos que auxiliam em seu processo de trabalho (4,7,8).</w:t>
      </w:r>
    </w:p>
    <w:p w14:paraId="527A95AD"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3CCF7F2" w14:textId="77777777" w:rsidR="00787BF7" w:rsidRDefault="00000000">
      <w:pPr>
        <w:pStyle w:val="Ttulo2"/>
      </w:pPr>
      <w:bookmarkStart w:id="24" w:name="_heading=h.3whwml4" w:colFirst="0" w:colLast="0"/>
      <w:bookmarkEnd w:id="24"/>
      <w:r>
        <w:t>4.3 DIFICULDADES VIVENCIADAS PELO ENFERMEIRO</w:t>
      </w:r>
    </w:p>
    <w:p w14:paraId="2950E08C"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EC32856"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A classificação de risco facilita o trabalho do enfermeiro, pois segundo o Artigo 3, permite estabelecer uma previsão de atendimento aos usuários, assim como institui uma estratégia organizacional do serviço de emergência.</w:t>
      </w:r>
    </w:p>
    <w:p w14:paraId="3FEF3E0A"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A classificação de risco é um processo dinâmico, de identificação de pacientes que necessitam de tratamento imediato, de acordo com o potencial de risco, os agravos à saúde, assim como o grau de sofrimento, devendo o atendimento ser priorizado de acordo com a gravidade clínica do paciente, e não com a ordem de chegada ao serviço (SOUZA </w:t>
      </w:r>
      <w:r>
        <w:rPr>
          <w:rFonts w:ascii="Arial" w:eastAsia="Arial" w:hAnsi="Arial" w:cs="Arial"/>
          <w:i/>
          <w:sz w:val="24"/>
          <w:szCs w:val="24"/>
        </w:rPr>
        <w:t>et al.</w:t>
      </w:r>
      <w:r>
        <w:rPr>
          <w:rFonts w:ascii="Arial" w:eastAsia="Arial" w:hAnsi="Arial" w:cs="Arial"/>
          <w:sz w:val="24"/>
          <w:szCs w:val="24"/>
        </w:rPr>
        <w:t>, 2011).</w:t>
      </w:r>
    </w:p>
    <w:p w14:paraId="582BD475"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 Protocolo de Manchester é visto como uma forma de contribuição para o trabalho do enfermeiro, pois o mesmo direciona a prática clínica do profissional gerando maior segurança ao paciente (Artigo 8).</w:t>
      </w:r>
    </w:p>
    <w:p w14:paraId="248269A4"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Neste contexto, outro autor retrata o mesmo, quando refere que os fluxogramas são importantes ferramentas de trabalho quando usados e inseridos corretamente no processo de classificação de risco, pois tem o intuito de promover uma ampla reflexão da equipe sobre o processo de trabalho (BRASIL, 2009).</w:t>
      </w:r>
    </w:p>
    <w:p w14:paraId="3A1B89F3"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Porém os enfermeiros enfrentam também algumas dificuldades ao atuarem na classificação de risco, que muitas vezes não são geradas dentro das unidades de urgência e emergências e sim nas unidades básicas de saúde, a falta de referência e contra referência é o principal, destacando também os pacientes que buscam as emergências orientadas pelas unidades básicas de saúde por problemas que podiam ser resolvidos no próprio local. Essa conduta resulta no aumento do fluxo dos pacientes que não se remetem às urgências e emergências (Artigo 8).</w:t>
      </w:r>
    </w:p>
    <w:p w14:paraId="4D881328"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O desconhecimento da população e a baixa resolutividade da rede de atenção primária podem contribuir com o aumento da demanda espontânea nas unidades de emergências, pois nesse contexto a alta demanda desses pacientes sem o encaminhamento adequado para as unidades de saúde de menor complexidade assistencial, muitas vezes leva o profissional de saúde a desenvolver a classificação de risco em meio a um ambiente complexo, cercado de demandas que não são prioridades dos serviços de urgência resultando em um espaço de tensão (COSTA </w:t>
      </w:r>
      <w:r>
        <w:rPr>
          <w:rFonts w:ascii="Arial" w:eastAsia="Arial" w:hAnsi="Arial" w:cs="Arial"/>
          <w:i/>
          <w:sz w:val="24"/>
          <w:szCs w:val="24"/>
        </w:rPr>
        <w:t>et al.</w:t>
      </w:r>
      <w:r>
        <w:rPr>
          <w:rFonts w:ascii="Arial" w:eastAsia="Arial" w:hAnsi="Arial" w:cs="Arial"/>
          <w:sz w:val="24"/>
          <w:szCs w:val="24"/>
        </w:rPr>
        <w:t>, 2015).</w:t>
      </w:r>
    </w:p>
    <w:p w14:paraId="7853C43D"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 não conhecimento do Protocolo de Manchester pelos outros membros da equipe também é citado como dificultador do trabalho do enfermeiro, pois segundo os Artigos 1,8 alguns médicos não entendem o motivo da classificação de risco, não concordando com a classificação, acabam atendendo o paciente pelo horário em que chegou e não pela cor estipulada no Protocolo de Manchester.</w:t>
      </w:r>
    </w:p>
    <w:p w14:paraId="409C48C7"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Em relação aos fluxogramas, a discussão e o entendimento dos mesmos são indispensáveis para obter resultados positivos no controle à demanda e a priorização dos agravos para o atendimento (COSTA </w:t>
      </w:r>
      <w:r>
        <w:rPr>
          <w:rFonts w:ascii="Arial" w:eastAsia="Arial" w:hAnsi="Arial" w:cs="Arial"/>
          <w:i/>
          <w:sz w:val="24"/>
          <w:szCs w:val="24"/>
        </w:rPr>
        <w:t>et al.</w:t>
      </w:r>
      <w:r>
        <w:rPr>
          <w:rFonts w:ascii="Arial" w:eastAsia="Arial" w:hAnsi="Arial" w:cs="Arial"/>
          <w:sz w:val="24"/>
          <w:szCs w:val="24"/>
        </w:rPr>
        <w:t>, 2015).</w:t>
      </w:r>
    </w:p>
    <w:p w14:paraId="46A0D46E"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Visto as dificuldades que os profissionais classificadores de risco são submetidos, assim como suas percepções sobre as contribuições que a classificação de risco pode proporcionar, surge a necessidade de abordar sentimentos desse profissional frente a classificação de risco.</w:t>
      </w:r>
    </w:p>
    <w:p w14:paraId="23026D82"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F2FDD22" w14:textId="77777777" w:rsidR="00787BF7" w:rsidRDefault="00000000">
      <w:pPr>
        <w:pStyle w:val="Ttulo2"/>
      </w:pPr>
      <w:bookmarkStart w:id="25" w:name="_heading=h.2bn6wsx" w:colFirst="0" w:colLast="0"/>
      <w:bookmarkEnd w:id="25"/>
      <w:r>
        <w:t>4.4 O SENTIMENTO DOS ENFERMEIROS FRENTE A CLASSIFICAÇÃO DE RISCO</w:t>
      </w:r>
    </w:p>
    <w:p w14:paraId="5A43311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EBE89EE"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Dentre os sentimentos relatados pelos profissionais, o prazer é um deles, pois as práticas no acolhimento com avaliação e classificação do risco os proporcionam maior aproximação do profissional ao paciente contribuindo então para suprir as necessidades de saúde dos mesmos. Nesse contexto os enfermeiros também relatam sentir satisfação por realizar o cuidado de enfermagem frente à classificação e risco, pois se sentem autônomos ao agilizar o atendimento dos pacientes mais graves (Artigos 5,9). O profissional que classifica o risco, promove autonomia, administração do local, assim como humanização e um atendimento de qualidade almejado pelo paciente (BELLUCCI JÚNIOR; MATSUDA, 2012).</w:t>
      </w:r>
    </w:p>
    <w:p w14:paraId="4EBE5C1B"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A frustração, estresse e cansaço são sentimentos citados pelos profissionais, principalmente pelo motivo das superlotações de pacientes que não necessitam ser atendidos pelas unidades de urgência e emergência. As dificuldades para enfrentar situações de violência também são citadas pelos profissionais, já que os profissionais remetem a sofrer algum tipo de violência ao realizar a classificação e risco (Artigo 9).</w:t>
      </w:r>
    </w:p>
    <w:p w14:paraId="77E0602E"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Desta forma cabe salientar, que os profissionais de saúde que exercem sua função no acolhimento e classificação de risco, podem vir a apresentar sofrimento no trabalho muitas vezes por desempenhar suas atividades em um ambiente complexo, cercado de demandas que não se referem à finalidade do trabalho (GUEDES, 2013).</w:t>
      </w:r>
    </w:p>
    <w:p w14:paraId="75D6C5E2"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 Artigo 6 aponta o sofrimento do profissional ao reconhecer seu discurso vazio com os pacientes sobre o funcionamento das redes básicas de saúde, pois, por mais que os mesmos atendam e realize a orientação sobre o serviço de saúde correto para o paciente, os mesmos sabem da realidade como a falta de: medicações, resolutividade e principalmente de referência e contra referência.</w:t>
      </w:r>
    </w:p>
    <w:p w14:paraId="4B727500"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Há necessidade da rede primária de dar mais resolubilidade aos casos, melhorar a articulação com os diferentes níveis de assistência, promover treinamento permanente a equipe assim como adequar a estrutura gerencial e funcional desses serviços (COSTA </w:t>
      </w:r>
      <w:r>
        <w:rPr>
          <w:rFonts w:ascii="Arial" w:eastAsia="Arial" w:hAnsi="Arial" w:cs="Arial"/>
          <w:i/>
          <w:sz w:val="24"/>
          <w:szCs w:val="24"/>
        </w:rPr>
        <w:t>et al.</w:t>
      </w:r>
      <w:r>
        <w:rPr>
          <w:rFonts w:ascii="Arial" w:eastAsia="Arial" w:hAnsi="Arial" w:cs="Arial"/>
          <w:sz w:val="24"/>
          <w:szCs w:val="24"/>
        </w:rPr>
        <w:t>, 2015).</w:t>
      </w:r>
    </w:p>
    <w:p w14:paraId="00FF4B42"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Para atuar na classificação de risco rodeado desses sentimentos, cabe aos enfermeiros o revezamento de seis em seis horas, não sobrecarregando os mesmos da cansativa tarefa que é classificar (Artigo 9).</w:t>
      </w:r>
    </w:p>
    <w:p w14:paraId="5CF6D6AD"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Porém, outro autor expressa que não há pesquisas que evidenciem o tempo necessário de permanência do enfermeiro em tal atuação (DURO </w:t>
      </w:r>
      <w:r>
        <w:rPr>
          <w:rFonts w:ascii="Arial" w:eastAsia="Arial" w:hAnsi="Arial" w:cs="Arial"/>
          <w:i/>
          <w:sz w:val="24"/>
          <w:szCs w:val="24"/>
        </w:rPr>
        <w:t>et al.</w:t>
      </w:r>
      <w:r>
        <w:rPr>
          <w:rFonts w:ascii="Arial" w:eastAsia="Arial" w:hAnsi="Arial" w:cs="Arial"/>
          <w:sz w:val="24"/>
          <w:szCs w:val="24"/>
        </w:rPr>
        <w:t>, 2014).</w:t>
      </w:r>
    </w:p>
    <w:p w14:paraId="0496916E"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F55DB1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BC2C8B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A99DEC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C04662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FCF317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AAA946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D0B0C6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BE7A9F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170BE8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D4916C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7FCC2A9"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6C4C7D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632E23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91D156D"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BCBA7F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0EF7F033"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8C687D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356A04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D503EE1"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A890B37" w14:textId="77777777" w:rsidR="00787BF7" w:rsidRDefault="00787BF7">
      <w:pPr>
        <w:pBdr>
          <w:top w:val="nil"/>
          <w:left w:val="nil"/>
          <w:bottom w:val="nil"/>
          <w:right w:val="nil"/>
          <w:between w:val="nil"/>
        </w:pBdr>
        <w:spacing w:after="0" w:line="360" w:lineRule="auto"/>
        <w:jc w:val="both"/>
        <w:rPr>
          <w:rFonts w:ascii="Arial" w:eastAsia="Arial" w:hAnsi="Arial" w:cs="Arial"/>
          <w:sz w:val="24"/>
          <w:szCs w:val="24"/>
        </w:rPr>
      </w:pPr>
    </w:p>
    <w:p w14:paraId="06800FC8" w14:textId="77777777" w:rsidR="00787BF7" w:rsidRDefault="00787BF7">
      <w:pPr>
        <w:pBdr>
          <w:top w:val="nil"/>
          <w:left w:val="nil"/>
          <w:bottom w:val="nil"/>
          <w:right w:val="nil"/>
          <w:between w:val="nil"/>
        </w:pBdr>
        <w:spacing w:after="0" w:line="360" w:lineRule="auto"/>
        <w:jc w:val="both"/>
        <w:rPr>
          <w:rFonts w:ascii="Arial" w:eastAsia="Arial" w:hAnsi="Arial" w:cs="Arial"/>
          <w:sz w:val="24"/>
          <w:szCs w:val="24"/>
        </w:rPr>
      </w:pPr>
    </w:p>
    <w:p w14:paraId="79EA141D" w14:textId="77777777" w:rsidR="00787BF7" w:rsidRDefault="00000000">
      <w:pPr>
        <w:pStyle w:val="Ttulo1"/>
      </w:pPr>
      <w:bookmarkStart w:id="26" w:name="_heading=h.qsh70q" w:colFirst="0" w:colLast="0"/>
      <w:bookmarkEnd w:id="26"/>
      <w:r>
        <w:t>5 CONSIDERAÇÕES FINAIS</w:t>
      </w:r>
    </w:p>
    <w:p w14:paraId="2412A009"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9924AB7"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Os artigos estudados nesta revisão permitiram identificar e analisar as evidências disponíveis no período de 2011 a 2021, relacionados à atuação do enfermeiro frente à classificação de risco nos serviços de urgência e emergência.</w:t>
      </w:r>
    </w:p>
    <w:p w14:paraId="7C493953"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Em relação ao papel do enfermeiro frente à classificação de risco, os artigos destacaram a tomada de decisões como a principal função do enfermeiro classificador. Assim como obter alguns requisitos como: conhecimento teórico, agilidade, ser resolutivo e principalmente garantir a melhoria do serviço.</w:t>
      </w:r>
    </w:p>
    <w:p w14:paraId="20292642"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Constatou-se que a classificação de risco proporciona algumas contribuições na vida do profissional como a estratégia organizacional que o enfermeiro adquire, melhorias no gerenciamento atribuída ao Protocolo de Manchester que estabelece a priorização dos atendimentos. Como dificuldades, o excesso de demanda não relacionado à emergência ganha destaque.</w:t>
      </w:r>
    </w:p>
    <w:p w14:paraId="65AD6440"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Outro aspecto relevante da pesquisa foram os sentimentos vivenciados pelo enfermeiro classificador, que nos mostra que o profissional sente prazer e satisfação ao classificar o risco, pois prevalece a autonomia dos mesmos durante essa função.</w:t>
      </w:r>
    </w:p>
    <w:p w14:paraId="47EBE6E2" w14:textId="77777777" w:rsidR="00787BF7" w:rsidRDefault="00000000">
      <w:pPr>
        <w:pBdr>
          <w:top w:val="nil"/>
          <w:left w:val="nil"/>
          <w:bottom w:val="nil"/>
          <w:right w:val="nil"/>
          <w:between w:val="nil"/>
        </w:pBdr>
        <w:spacing w:after="0" w:line="360" w:lineRule="auto"/>
        <w:ind w:firstLine="709"/>
        <w:jc w:val="both"/>
        <w:rPr>
          <w:rFonts w:ascii="Arial" w:eastAsia="Arial" w:hAnsi="Arial" w:cs="Arial"/>
          <w:sz w:val="24"/>
          <w:szCs w:val="24"/>
        </w:rPr>
      </w:pPr>
      <w:r>
        <w:rPr>
          <w:rFonts w:ascii="Arial" w:eastAsia="Arial" w:hAnsi="Arial" w:cs="Arial"/>
          <w:sz w:val="24"/>
          <w:szCs w:val="24"/>
        </w:rPr>
        <w:t>Nesse contexto, os mesmos relatam cansaço, frustrações e estresse devido ao ritmo intenso de trabalho, medo e dificuldades frente a situações de violência dos pacientes. Dessa forma, para atuar na classificação de risco, rodeado de tais sentimentos, cabe aos profissionais enfermeiros realizarem tal função, não se sobrecarregando, e evitando doenças relacionadas ao trabalho.</w:t>
      </w:r>
    </w:p>
    <w:p w14:paraId="40053AB4"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3A9D3A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4528587F"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37D7E2E5"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0282E1A"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07D7D2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7937159C"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144F6B6"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DB97377"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2E8F83C8"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2BF6A8B"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14673D00"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579BEF0F" w14:textId="77777777" w:rsidR="00787BF7" w:rsidRDefault="00000000">
      <w:pPr>
        <w:pStyle w:val="Ttulo1"/>
        <w:jc w:val="center"/>
      </w:pPr>
      <w:bookmarkStart w:id="27" w:name="_heading=h.3as4poj" w:colFirst="0" w:colLast="0"/>
      <w:bookmarkEnd w:id="27"/>
      <w:r>
        <w:t>REFERÊNCIAS</w:t>
      </w:r>
    </w:p>
    <w:p w14:paraId="142EE5EC" w14:textId="77777777" w:rsidR="00787BF7" w:rsidRDefault="00787BF7">
      <w:pPr>
        <w:pBdr>
          <w:top w:val="nil"/>
          <w:left w:val="nil"/>
          <w:bottom w:val="nil"/>
          <w:right w:val="nil"/>
          <w:between w:val="nil"/>
        </w:pBdr>
        <w:spacing w:after="0" w:line="360" w:lineRule="auto"/>
        <w:ind w:firstLine="709"/>
        <w:jc w:val="both"/>
        <w:rPr>
          <w:rFonts w:ascii="Arial" w:eastAsia="Arial" w:hAnsi="Arial" w:cs="Arial"/>
          <w:sz w:val="24"/>
          <w:szCs w:val="24"/>
        </w:rPr>
      </w:pPr>
    </w:p>
    <w:p w14:paraId="66374F8C"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7"/>
          <w:szCs w:val="27"/>
        </w:rPr>
        <w:t>ABBÊS C.; MASSARO A. Acolhimento com avaliação e classificação de risco: um Paradigma. In: BRASIL. Ministério da Saúde. Secretaria Executiva. Núcleo Técnico da Política Nacional de Humanização. Brasília: Ed. do MS, 2004.</w:t>
      </w:r>
    </w:p>
    <w:p w14:paraId="72F38C44"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ACOSTA, A. M.; DURO, C. L. M.; LIMA, M. A. D. S. Atividades do enfermeiro nos sistemas de triagem/classificação de risco nos serviços de urgência: revisão integrativa. </w:t>
      </w:r>
      <w:r>
        <w:rPr>
          <w:rFonts w:ascii="Arial" w:eastAsia="Arial" w:hAnsi="Arial" w:cs="Arial"/>
          <w:b/>
          <w:sz w:val="24"/>
          <w:szCs w:val="24"/>
        </w:rPr>
        <w:t>Revista Gaúcha de Enfermagem</w:t>
      </w:r>
      <w:r>
        <w:rPr>
          <w:rFonts w:ascii="Arial" w:eastAsia="Arial" w:hAnsi="Arial" w:cs="Arial"/>
          <w:sz w:val="24"/>
          <w:szCs w:val="24"/>
        </w:rPr>
        <w:t xml:space="preserve">, v. 33, n. 4, p. 181-190, dez. 2012. Doi: </w:t>
      </w:r>
      <w:hyperlink r:id="rId12">
        <w:r>
          <w:rPr>
            <w:rFonts w:ascii="Arial" w:eastAsia="Arial" w:hAnsi="Arial" w:cs="Arial"/>
            <w:color w:val="0563C1"/>
            <w:sz w:val="24"/>
            <w:szCs w:val="24"/>
            <w:u w:val="single"/>
          </w:rPr>
          <w:t>http://dx.doi.org/10.1590/s1983-14472012000400023</w:t>
        </w:r>
      </w:hyperlink>
      <w:r>
        <w:rPr>
          <w:rFonts w:ascii="Arial" w:eastAsia="Arial" w:hAnsi="Arial" w:cs="Arial"/>
          <w:sz w:val="24"/>
          <w:szCs w:val="24"/>
        </w:rPr>
        <w:t>.</w:t>
      </w:r>
    </w:p>
    <w:p w14:paraId="045907D0"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BELLUCCI JÚNIOR, J. A.; MATSUDA, L. M. Implantação do sistema acolhimento com Classificação e Avaliação de Risco e uso do Fluxograma Analisador. </w:t>
      </w:r>
      <w:r>
        <w:rPr>
          <w:rFonts w:ascii="Arial" w:eastAsia="Arial" w:hAnsi="Arial" w:cs="Arial"/>
          <w:b/>
          <w:sz w:val="24"/>
          <w:szCs w:val="24"/>
        </w:rPr>
        <w:t>Texto &amp; Contexto - Enfermagem</w:t>
      </w:r>
      <w:r>
        <w:rPr>
          <w:rFonts w:ascii="Arial" w:eastAsia="Arial" w:hAnsi="Arial" w:cs="Arial"/>
          <w:sz w:val="24"/>
          <w:szCs w:val="24"/>
        </w:rPr>
        <w:t>, v. 21, n. 1, p. 217-225, mar. 2012. Doi: http://dx.doi.org/10.1590/s0104-07072012000100025.</w:t>
      </w:r>
    </w:p>
    <w:p w14:paraId="668D7AD2"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BRAMATTI, R.; FERREIRA, O. T. SILVA, R. K. B. O papel do enfermeiro na classificação de risco na urgência e emergência -baseado no Protocolo de Manchester. In: ENCONTRO CIENTÍFICO CULTURAL INTERINSTITUCIONAL; 19. 2021. Porto Alegre. </w:t>
      </w:r>
      <w:r>
        <w:rPr>
          <w:rFonts w:ascii="Arial" w:eastAsia="Arial" w:hAnsi="Arial" w:cs="Arial"/>
          <w:b/>
          <w:sz w:val="24"/>
          <w:szCs w:val="24"/>
        </w:rPr>
        <w:t>Anais [...].</w:t>
      </w:r>
      <w:r>
        <w:rPr>
          <w:rFonts w:ascii="Arial" w:eastAsia="Arial" w:hAnsi="Arial" w:cs="Arial"/>
          <w:sz w:val="24"/>
          <w:szCs w:val="24"/>
        </w:rPr>
        <w:t xml:space="preserve"> Porto Alegre, 2021. Disponível em: </w:t>
      </w:r>
      <w:r>
        <w:rPr>
          <w:rFonts w:ascii="Arial" w:eastAsia="Arial" w:hAnsi="Arial" w:cs="Arial"/>
          <w:color w:val="1155CC"/>
          <w:sz w:val="24"/>
          <w:szCs w:val="24"/>
          <w:u w:val="single"/>
        </w:rPr>
        <w:t xml:space="preserve">https://www2.fag.edu.br/coopex/inscricao/arquivos/ecci_2021/13-10-2021--21-56-37. </w:t>
      </w:r>
      <w:hyperlink r:id="rId13">
        <w:r>
          <w:rPr>
            <w:rFonts w:ascii="Arial" w:eastAsia="Arial" w:hAnsi="Arial" w:cs="Arial"/>
            <w:color w:val="1155CC"/>
            <w:sz w:val="24"/>
            <w:szCs w:val="24"/>
            <w:u w:val="single"/>
          </w:rPr>
          <w:t>pdf</w:t>
        </w:r>
      </w:hyperlink>
      <w:r>
        <w:rPr>
          <w:rFonts w:ascii="Arial" w:eastAsia="Arial" w:hAnsi="Arial" w:cs="Arial"/>
          <w:color w:val="1155CC"/>
          <w:sz w:val="24"/>
          <w:szCs w:val="24"/>
        </w:rPr>
        <w:t xml:space="preserve">. </w:t>
      </w:r>
      <w:r>
        <w:rPr>
          <w:rFonts w:ascii="Arial" w:eastAsia="Arial" w:hAnsi="Arial" w:cs="Arial"/>
          <w:sz w:val="24"/>
          <w:szCs w:val="24"/>
        </w:rPr>
        <w:t>Acesso em: 28 set. 2022.</w:t>
      </w:r>
    </w:p>
    <w:p w14:paraId="5CADB656"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BRASIL. Ministério da Saúde. </w:t>
      </w:r>
      <w:r>
        <w:rPr>
          <w:rFonts w:ascii="Arial" w:eastAsia="Arial" w:hAnsi="Arial" w:cs="Arial"/>
          <w:b/>
          <w:sz w:val="24"/>
          <w:szCs w:val="24"/>
        </w:rPr>
        <w:t>Ambiência</w:t>
      </w:r>
      <w:r>
        <w:rPr>
          <w:rFonts w:ascii="Arial" w:eastAsia="Arial" w:hAnsi="Arial" w:cs="Arial"/>
          <w:sz w:val="24"/>
          <w:szCs w:val="24"/>
        </w:rPr>
        <w:t>: Humanização dos “Territórios” de encontros do SUS: Formação de apoiadores para a Política Nacional de Humanização da Gestão e da Atenção à Saúde. Brasília: Fiocruz: Ministério da Saúde, 2006.</w:t>
      </w:r>
    </w:p>
    <w:p w14:paraId="0F38D83D"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BRASIL. Ministério da Saúde. </w:t>
      </w:r>
      <w:r>
        <w:rPr>
          <w:rFonts w:ascii="Arial" w:eastAsia="Arial" w:hAnsi="Arial" w:cs="Arial"/>
          <w:b/>
          <w:sz w:val="24"/>
          <w:szCs w:val="24"/>
        </w:rPr>
        <w:t>HumanizaSUS</w:t>
      </w:r>
      <w:r>
        <w:rPr>
          <w:rFonts w:ascii="Arial" w:eastAsia="Arial" w:hAnsi="Arial" w:cs="Arial"/>
          <w:sz w:val="24"/>
          <w:szCs w:val="24"/>
        </w:rPr>
        <w:t>: acolhimento com avaliação e classificação de risco: um paradigma ético-estético no fazer em saúde. Brasília: Secretaria-Executiva - Núcleo Técnico da Política Nacional de Humanização, 2004.</w:t>
      </w:r>
    </w:p>
    <w:p w14:paraId="12CC4B38"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BRASIL. Ministério da Saúde. Política Nacional de Humanização - Humaniza SUS, documento base para gestores e trabalhadores do SUS 2. ed. Brasília (DF): Ministério da Saúde. 2004. </w:t>
      </w:r>
    </w:p>
    <w:p w14:paraId="426E5984"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BRASIL. Ministério da saúde. </w:t>
      </w:r>
      <w:r>
        <w:rPr>
          <w:rFonts w:ascii="Arial" w:eastAsia="Arial" w:hAnsi="Arial" w:cs="Arial"/>
          <w:b/>
          <w:sz w:val="24"/>
          <w:szCs w:val="24"/>
        </w:rPr>
        <w:t>Politica Nacional de atenção às urgências</w:t>
      </w:r>
      <w:r>
        <w:rPr>
          <w:rFonts w:ascii="Arial" w:eastAsia="Arial" w:hAnsi="Arial" w:cs="Arial"/>
          <w:sz w:val="24"/>
          <w:szCs w:val="24"/>
        </w:rPr>
        <w:t>. 3.ed. Brasilia. Ministério da saúde. 2006. Disponível em: http://bvsms.saude.gov.br/bvs/publicacoes/politica_nacional_atencao_urgencia s_3ed.pdf. Acesso em: 18 out. 2022.</w:t>
      </w:r>
    </w:p>
    <w:p w14:paraId="1E6D034F"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BRASIL. Ministério da Saúde. </w:t>
      </w:r>
      <w:r>
        <w:rPr>
          <w:rFonts w:ascii="Arial" w:eastAsia="Arial" w:hAnsi="Arial" w:cs="Arial"/>
          <w:b/>
          <w:sz w:val="24"/>
          <w:szCs w:val="24"/>
        </w:rPr>
        <w:t>Portaria nº 1.600/GM/MS, de 7 de julho de 2011</w:t>
      </w:r>
      <w:r>
        <w:rPr>
          <w:rFonts w:ascii="Arial" w:eastAsia="Arial" w:hAnsi="Arial" w:cs="Arial"/>
          <w:sz w:val="24"/>
          <w:szCs w:val="24"/>
        </w:rPr>
        <w:t>, que reformula a Política Nacional de Atenção às Urgências e institui a Rede de Atenção às Urgências no SUS. Disponível em: http://bvsms.saude.gov.br/bvs/saudelegis/gm/2011/prt1600_07_07_2011.html.</w:t>
      </w:r>
    </w:p>
    <w:p w14:paraId="5724A5D2"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BRASIL. Ministério da Saúde. </w:t>
      </w:r>
      <w:r>
        <w:rPr>
          <w:rFonts w:ascii="Arial" w:eastAsia="Arial" w:hAnsi="Arial" w:cs="Arial"/>
          <w:b/>
          <w:sz w:val="24"/>
          <w:szCs w:val="24"/>
        </w:rPr>
        <w:t xml:space="preserve">Portaria nº 2048, de 5 de novembro de 2002. </w:t>
      </w:r>
      <w:r>
        <w:rPr>
          <w:rFonts w:ascii="Arial" w:eastAsia="Arial" w:hAnsi="Arial" w:cs="Arial"/>
          <w:sz w:val="24"/>
          <w:szCs w:val="24"/>
        </w:rPr>
        <w:t>Disponível em: https://bvsms.saude.gov.br/bvs/saudelegis/gm/2002/prt2048_05_11 _2002.html. Acesso em: 18 out. 2022.</w:t>
      </w:r>
    </w:p>
    <w:p w14:paraId="33FA4501"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BRASIL. Ministério da Saúde. Secretaria de atenção à saúde. Política nacional de Humanização da atenção e Gestão do SUS. A</w:t>
      </w:r>
      <w:r>
        <w:rPr>
          <w:rFonts w:ascii="Arial" w:eastAsia="Arial" w:hAnsi="Arial" w:cs="Arial"/>
          <w:b/>
          <w:sz w:val="24"/>
          <w:szCs w:val="24"/>
        </w:rPr>
        <w:t>colhimento e classificação de risco nos serviços de urgência.</w:t>
      </w:r>
      <w:r>
        <w:rPr>
          <w:rFonts w:ascii="Arial" w:eastAsia="Arial" w:hAnsi="Arial" w:cs="Arial"/>
          <w:sz w:val="24"/>
          <w:szCs w:val="24"/>
        </w:rPr>
        <w:t xml:space="preserve"> Brasília : Ministério da saúde, 2009. Disponível:.http://bvsms.saude.gov.br/bvs/publicacoes/acolhimento_classificaa o_risco_servico_urgencia.pdf</w:t>
      </w:r>
    </w:p>
    <w:p w14:paraId="2335F76E"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CAMARGO NETO, O. </w:t>
      </w:r>
      <w:r>
        <w:rPr>
          <w:rFonts w:ascii="Arial" w:eastAsia="Arial" w:hAnsi="Arial" w:cs="Arial"/>
          <w:i/>
          <w:sz w:val="24"/>
          <w:szCs w:val="24"/>
        </w:rPr>
        <w:t>et al.</w:t>
      </w:r>
      <w:r>
        <w:rPr>
          <w:rFonts w:ascii="Arial" w:eastAsia="Arial" w:hAnsi="Arial" w:cs="Arial"/>
          <w:sz w:val="24"/>
          <w:szCs w:val="24"/>
        </w:rPr>
        <w:t xml:space="preserve"> The Nurse’s Acting in the Welfare and Risk Classification System in Health Services. </w:t>
      </w:r>
      <w:r>
        <w:rPr>
          <w:rFonts w:ascii="Arial" w:eastAsia="Arial" w:hAnsi="Arial" w:cs="Arial"/>
          <w:b/>
          <w:sz w:val="24"/>
          <w:szCs w:val="24"/>
        </w:rPr>
        <w:t>Journal of Health Sciences</w:t>
      </w:r>
      <w:r>
        <w:rPr>
          <w:rFonts w:ascii="Arial" w:eastAsia="Arial" w:hAnsi="Arial" w:cs="Arial"/>
          <w:sz w:val="24"/>
          <w:szCs w:val="24"/>
        </w:rPr>
        <w:t>, v. 20, n. 4, p. 295-392, 30 mar. 2018. Doi: http://dx.doi.org/10.17921/2447-8938.2018v20n4p295-302.</w:t>
      </w:r>
    </w:p>
    <w:p w14:paraId="6861F60C"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CAMPOS, T. S. </w:t>
      </w:r>
      <w:r>
        <w:rPr>
          <w:rFonts w:ascii="Arial" w:eastAsia="Arial" w:hAnsi="Arial" w:cs="Arial"/>
          <w:i/>
          <w:sz w:val="24"/>
          <w:szCs w:val="24"/>
        </w:rPr>
        <w:t>et al</w:t>
      </w:r>
      <w:r>
        <w:rPr>
          <w:rFonts w:ascii="Arial" w:eastAsia="Arial" w:hAnsi="Arial" w:cs="Arial"/>
          <w:sz w:val="24"/>
          <w:szCs w:val="24"/>
        </w:rPr>
        <w:t xml:space="preserve">. Acolhimento e classificação de risco: percepção de profissionais de saúde e usuários. </w:t>
      </w:r>
      <w:r>
        <w:rPr>
          <w:rFonts w:ascii="Arial" w:eastAsia="Arial" w:hAnsi="Arial" w:cs="Arial"/>
          <w:b/>
          <w:sz w:val="24"/>
          <w:szCs w:val="24"/>
        </w:rPr>
        <w:t>Revista Brasileira em Promoção da Saúde</w:t>
      </w:r>
      <w:r>
        <w:rPr>
          <w:rFonts w:ascii="Arial" w:eastAsia="Arial" w:hAnsi="Arial" w:cs="Arial"/>
          <w:sz w:val="24"/>
          <w:szCs w:val="24"/>
        </w:rPr>
        <w:t>, v. 33, p. 1-11, 2020. Doi: http://dx.doi.org/10.5020/18061230.2020.9786.</w:t>
      </w:r>
    </w:p>
    <w:p w14:paraId="11292851"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color w:val="222222"/>
          <w:sz w:val="24"/>
          <w:szCs w:val="24"/>
        </w:rPr>
        <w:t xml:space="preserve">CANTO, C. S. </w:t>
      </w:r>
      <w:r>
        <w:rPr>
          <w:rFonts w:ascii="Arial" w:eastAsia="Arial" w:hAnsi="Arial" w:cs="Arial"/>
          <w:b/>
          <w:color w:val="222222"/>
          <w:sz w:val="24"/>
          <w:szCs w:val="24"/>
        </w:rPr>
        <w:t>O papel do enfermeiro frente à classificação de risco em serviços de urgência e emergência</w:t>
      </w:r>
      <w:r>
        <w:rPr>
          <w:rFonts w:ascii="Arial" w:eastAsia="Arial" w:hAnsi="Arial" w:cs="Arial"/>
          <w:color w:val="222222"/>
          <w:sz w:val="24"/>
          <w:szCs w:val="24"/>
        </w:rPr>
        <w:t xml:space="preserve">: revisão integrativa da literatura. 2016. Trabalho de Conclusão Curso (Graduação em Enfermagem) – </w:t>
      </w:r>
      <w:r>
        <w:rPr>
          <w:rFonts w:ascii="Arial" w:eastAsia="Arial" w:hAnsi="Arial" w:cs="Arial"/>
          <w:sz w:val="24"/>
          <w:szCs w:val="24"/>
        </w:rPr>
        <w:t>Universidade de Santa Cruz do Sul.</w:t>
      </w:r>
      <w:r>
        <w:rPr>
          <w:rFonts w:ascii="Arial" w:eastAsia="Arial" w:hAnsi="Arial" w:cs="Arial"/>
          <w:color w:val="222222"/>
          <w:sz w:val="24"/>
          <w:szCs w:val="24"/>
        </w:rPr>
        <w:t xml:space="preserve"> Santa Cruz do Sul, 2016. </w:t>
      </w:r>
    </w:p>
    <w:p w14:paraId="72FC6BDD"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color w:val="222222"/>
          <w:sz w:val="24"/>
          <w:szCs w:val="24"/>
        </w:rPr>
        <w:t xml:space="preserve">CAVALCANTE, R. B. </w:t>
      </w:r>
      <w:r>
        <w:rPr>
          <w:rFonts w:ascii="Arial" w:eastAsia="Arial" w:hAnsi="Arial" w:cs="Arial"/>
          <w:i/>
          <w:color w:val="222222"/>
          <w:sz w:val="24"/>
          <w:szCs w:val="24"/>
        </w:rPr>
        <w:t>et al</w:t>
      </w:r>
      <w:r>
        <w:rPr>
          <w:rFonts w:ascii="Arial" w:eastAsia="Arial" w:hAnsi="Arial" w:cs="Arial"/>
          <w:color w:val="222222"/>
          <w:sz w:val="24"/>
          <w:szCs w:val="24"/>
        </w:rPr>
        <w:t xml:space="preserve">. Acolhimento com classificação de risco: proposta de humanização nos serviços de urgência. </w:t>
      </w:r>
      <w:r>
        <w:rPr>
          <w:rFonts w:ascii="Arial" w:eastAsia="Arial" w:hAnsi="Arial" w:cs="Arial"/>
          <w:b/>
          <w:color w:val="222222"/>
          <w:sz w:val="24"/>
          <w:szCs w:val="24"/>
        </w:rPr>
        <w:t>Revista de Enfermagem do Centro Oeste Mineiro</w:t>
      </w:r>
      <w:r>
        <w:rPr>
          <w:rFonts w:ascii="Arial" w:eastAsia="Arial" w:hAnsi="Arial" w:cs="Arial"/>
          <w:color w:val="222222"/>
          <w:sz w:val="24"/>
          <w:szCs w:val="24"/>
        </w:rPr>
        <w:t xml:space="preserve">, v. 2, n. 3, 2012. Disponível em: http://www.seer.ufsj.edu.br/index.php/ recom/article/view/288. </w:t>
      </w:r>
      <w:r>
        <w:rPr>
          <w:rFonts w:ascii="Arial" w:eastAsia="Arial" w:hAnsi="Arial" w:cs="Arial"/>
          <w:sz w:val="24"/>
          <w:szCs w:val="24"/>
        </w:rPr>
        <w:t>Acesso em: 18 out. 2022.</w:t>
      </w:r>
    </w:p>
    <w:p w14:paraId="58C2DF37"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CESAR, M. P. </w:t>
      </w:r>
      <w:r>
        <w:rPr>
          <w:rFonts w:ascii="Arial" w:eastAsia="Arial" w:hAnsi="Arial" w:cs="Arial"/>
          <w:i/>
          <w:sz w:val="24"/>
          <w:szCs w:val="24"/>
        </w:rPr>
        <w:t>et al</w:t>
      </w:r>
      <w:r>
        <w:rPr>
          <w:rFonts w:ascii="Arial" w:eastAsia="Arial" w:hAnsi="Arial" w:cs="Arial"/>
          <w:sz w:val="24"/>
          <w:szCs w:val="24"/>
        </w:rPr>
        <w:t xml:space="preserve">. Percepção de usuários de um pronto atendimento 24 horas acerca da classificação de risco. </w:t>
      </w:r>
      <w:r>
        <w:rPr>
          <w:rFonts w:ascii="Arial" w:eastAsia="Arial" w:hAnsi="Arial" w:cs="Arial"/>
          <w:b/>
          <w:sz w:val="24"/>
          <w:szCs w:val="24"/>
        </w:rPr>
        <w:t>Revista de Pesquisa Cuidado É Fundamental Online</w:t>
      </w:r>
      <w:r>
        <w:rPr>
          <w:rFonts w:ascii="Arial" w:eastAsia="Arial" w:hAnsi="Arial" w:cs="Arial"/>
          <w:sz w:val="24"/>
          <w:szCs w:val="24"/>
        </w:rPr>
        <w:t>, v. 13, p. 330-335, 9 mar. 2021. Doi: http://dx.doi.org/10.9789/2175-5361.rpcfo.v13.8604.</w:t>
      </w:r>
    </w:p>
    <w:p w14:paraId="46FA2A68" w14:textId="77777777" w:rsidR="00787BF7" w:rsidRDefault="00000000">
      <w:pPr>
        <w:pBdr>
          <w:top w:val="nil"/>
          <w:left w:val="nil"/>
          <w:bottom w:val="nil"/>
          <w:right w:val="nil"/>
          <w:between w:val="nil"/>
        </w:pBdr>
        <w:spacing w:after="240" w:line="240" w:lineRule="auto"/>
        <w:rPr>
          <w:rFonts w:ascii="Arial" w:eastAsia="Arial" w:hAnsi="Arial" w:cs="Arial"/>
          <w:color w:val="202124"/>
          <w:sz w:val="24"/>
          <w:szCs w:val="24"/>
        </w:rPr>
      </w:pPr>
      <w:r>
        <w:rPr>
          <w:rFonts w:ascii="Arial" w:eastAsia="Arial" w:hAnsi="Arial" w:cs="Arial"/>
          <w:sz w:val="24"/>
          <w:szCs w:val="24"/>
        </w:rPr>
        <w:t xml:space="preserve">CHABUDÉ, T. G.; CÉSAR, G. C.; SANTANA, C. J. Acolhimento e Classificação de Risco em Unidade de Urgência: relato de experiência da implantação do sistema de triagem de manchester. </w:t>
      </w:r>
      <w:r>
        <w:rPr>
          <w:rFonts w:ascii="Arial" w:eastAsia="Arial" w:hAnsi="Arial" w:cs="Arial"/>
          <w:b/>
          <w:sz w:val="24"/>
          <w:szCs w:val="24"/>
        </w:rPr>
        <w:t>Ensaios e Ciência</w:t>
      </w:r>
      <w:r>
        <w:rPr>
          <w:rFonts w:ascii="Arial" w:eastAsia="Arial" w:hAnsi="Arial" w:cs="Arial"/>
          <w:sz w:val="24"/>
          <w:szCs w:val="24"/>
        </w:rPr>
        <w:t>: Ciências Biológicas, Agrárias e da Saúde, v. 23, n. 2, p. 121-125, 9 dez. 2019. Doi: http://dx.doi.org/10.17921/1415-6938.2019v23n2p121-125.</w:t>
      </w:r>
    </w:p>
    <w:p w14:paraId="0639A111"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COFEN (Conselho Federal de Enfermagem (Brasil)). </w:t>
      </w:r>
      <w:r>
        <w:rPr>
          <w:rFonts w:ascii="Arial" w:eastAsia="Arial" w:hAnsi="Arial" w:cs="Arial"/>
          <w:b/>
          <w:sz w:val="24"/>
          <w:szCs w:val="24"/>
        </w:rPr>
        <w:t>Resolução COFEN n. 423/2012.</w:t>
      </w:r>
      <w:r>
        <w:rPr>
          <w:rFonts w:ascii="Arial" w:eastAsia="Arial" w:hAnsi="Arial" w:cs="Arial"/>
          <w:sz w:val="24"/>
          <w:szCs w:val="24"/>
        </w:rPr>
        <w:t xml:space="preserve"> </w:t>
      </w:r>
      <w:r>
        <w:rPr>
          <w:rFonts w:ascii="Arial" w:eastAsia="Arial" w:hAnsi="Arial" w:cs="Arial"/>
          <w:i/>
          <w:sz w:val="24"/>
          <w:szCs w:val="24"/>
        </w:rPr>
        <w:t>Normatiza, no Âmbito do Sistema Cofen/Conselhos Regionais de Enfermagem, a Participação do Enfermeiro na Atividade de Classificação de Riscos. Brasília: COFEN, 2012.</w:t>
      </w:r>
    </w:p>
    <w:p w14:paraId="6BE4AF03"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COFEN (Conselho Federal de Enfermagem (Brasil)). </w:t>
      </w:r>
      <w:r>
        <w:rPr>
          <w:rFonts w:ascii="Arial" w:eastAsia="Arial" w:hAnsi="Arial" w:cs="Arial"/>
          <w:b/>
          <w:sz w:val="24"/>
          <w:szCs w:val="24"/>
        </w:rPr>
        <w:t>Resolução COFEN n. 661/2021</w:t>
      </w:r>
      <w:r>
        <w:rPr>
          <w:rFonts w:ascii="Arial" w:eastAsia="Arial" w:hAnsi="Arial" w:cs="Arial"/>
          <w:sz w:val="24"/>
          <w:szCs w:val="24"/>
        </w:rPr>
        <w:t xml:space="preserve">. </w:t>
      </w:r>
      <w:r>
        <w:rPr>
          <w:rFonts w:ascii="Arial" w:eastAsia="Arial" w:hAnsi="Arial" w:cs="Arial"/>
          <w:i/>
          <w:sz w:val="24"/>
          <w:szCs w:val="24"/>
        </w:rPr>
        <w:t xml:space="preserve">Atualiza e normatiza, no âmbito do Sistema Cofen/Conselhos Regionais de Enfermagem, a participação da Equipe de Enfermagem na atividade de Classificação de Risco. Disponível em: http://www.cofen.gov.br/resolucao-cofen-no-661-2021_85839.html. </w:t>
      </w:r>
      <w:r>
        <w:rPr>
          <w:rFonts w:ascii="Arial" w:eastAsia="Arial" w:hAnsi="Arial" w:cs="Arial"/>
          <w:sz w:val="24"/>
          <w:szCs w:val="24"/>
        </w:rPr>
        <w:t>Acesso em: 18 out. 2022.</w:t>
      </w:r>
    </w:p>
    <w:p w14:paraId="3F1AFBE1"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color w:val="222222"/>
          <w:sz w:val="24"/>
          <w:szCs w:val="24"/>
        </w:rPr>
        <w:t xml:space="preserve">COSTA, F. F. </w:t>
      </w:r>
      <w:r>
        <w:rPr>
          <w:rFonts w:ascii="Arial" w:eastAsia="Arial" w:hAnsi="Arial" w:cs="Arial"/>
          <w:i/>
          <w:color w:val="222222"/>
          <w:sz w:val="24"/>
          <w:szCs w:val="24"/>
        </w:rPr>
        <w:t>et al</w:t>
      </w:r>
      <w:r>
        <w:rPr>
          <w:rFonts w:ascii="Arial" w:eastAsia="Arial" w:hAnsi="Arial" w:cs="Arial"/>
          <w:color w:val="222222"/>
          <w:sz w:val="24"/>
          <w:szCs w:val="24"/>
        </w:rPr>
        <w:t xml:space="preserve">. A eficácia da aplicação do Protocolo de Manchester na Classificação de Risco em Unidades de Pronto Atendimento: uma revisão sistemática. </w:t>
      </w:r>
      <w:r>
        <w:rPr>
          <w:rFonts w:ascii="Arial" w:eastAsia="Arial" w:hAnsi="Arial" w:cs="Arial"/>
          <w:b/>
          <w:color w:val="222222"/>
          <w:sz w:val="24"/>
          <w:szCs w:val="24"/>
        </w:rPr>
        <w:t>Revista Saúde Multidisciplinar</w:t>
      </w:r>
      <w:r>
        <w:rPr>
          <w:rFonts w:ascii="Arial" w:eastAsia="Arial" w:hAnsi="Arial" w:cs="Arial"/>
          <w:color w:val="222222"/>
          <w:sz w:val="24"/>
          <w:szCs w:val="24"/>
        </w:rPr>
        <w:t xml:space="preserve">, v. 9, n. 1, </w:t>
      </w:r>
      <w:r>
        <w:rPr>
          <w:rFonts w:ascii="Arial" w:eastAsia="Arial" w:hAnsi="Arial" w:cs="Arial"/>
          <w:sz w:val="24"/>
          <w:szCs w:val="24"/>
        </w:rPr>
        <w:t>2021. Disponível em: http://revistas.famp.edu.br/revistasaudemultidisciplinar/article/view/211. Acesso em: 10 out. 2022.</w:t>
      </w:r>
    </w:p>
    <w:p w14:paraId="093DAEE6" w14:textId="77777777" w:rsidR="00787BF7" w:rsidRDefault="00000000">
      <w:pPr>
        <w:pBdr>
          <w:top w:val="nil"/>
          <w:left w:val="nil"/>
          <w:bottom w:val="nil"/>
          <w:right w:val="nil"/>
          <w:between w:val="nil"/>
        </w:pBdr>
        <w:spacing w:after="240" w:line="240" w:lineRule="auto"/>
        <w:rPr>
          <w:rFonts w:ascii="Arial" w:eastAsia="Arial" w:hAnsi="Arial" w:cs="Arial"/>
          <w:color w:val="222222"/>
          <w:sz w:val="24"/>
          <w:szCs w:val="24"/>
        </w:rPr>
      </w:pPr>
      <w:r>
        <w:rPr>
          <w:rFonts w:ascii="Arial" w:eastAsia="Arial" w:hAnsi="Arial" w:cs="Arial"/>
          <w:sz w:val="24"/>
          <w:szCs w:val="24"/>
        </w:rPr>
        <w:t xml:space="preserve">COSTA, M. A. R. </w:t>
      </w:r>
      <w:r>
        <w:rPr>
          <w:rFonts w:ascii="Arial" w:eastAsia="Arial" w:hAnsi="Arial" w:cs="Arial"/>
          <w:i/>
          <w:sz w:val="24"/>
          <w:szCs w:val="24"/>
        </w:rPr>
        <w:t>et al</w:t>
      </w:r>
      <w:r>
        <w:rPr>
          <w:rFonts w:ascii="Arial" w:eastAsia="Arial" w:hAnsi="Arial" w:cs="Arial"/>
          <w:sz w:val="24"/>
          <w:szCs w:val="24"/>
        </w:rPr>
        <w:t xml:space="preserve">. Admittance of Risk-Classified Cases: assessment of hospital emergency services. </w:t>
      </w:r>
      <w:r>
        <w:rPr>
          <w:rFonts w:ascii="Arial" w:eastAsia="Arial" w:hAnsi="Arial" w:cs="Arial"/>
          <w:b/>
          <w:sz w:val="24"/>
          <w:szCs w:val="24"/>
        </w:rPr>
        <w:t>Escola Anna Nery - Revista de Enfermagem</w:t>
      </w:r>
      <w:r>
        <w:rPr>
          <w:rFonts w:ascii="Arial" w:eastAsia="Arial" w:hAnsi="Arial" w:cs="Arial"/>
          <w:sz w:val="24"/>
          <w:szCs w:val="24"/>
        </w:rPr>
        <w:t>, v. 19, n. 3, p. 491-497, 2015. Doi: http://dx.doi.org/10.5935/1414-8145.20150065.</w:t>
      </w:r>
    </w:p>
    <w:p w14:paraId="1E6B5DF6"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color w:val="222222"/>
          <w:sz w:val="24"/>
          <w:szCs w:val="24"/>
        </w:rPr>
        <w:t xml:space="preserve">COUTINHO, A. A. P. </w:t>
      </w:r>
      <w:r>
        <w:rPr>
          <w:rFonts w:ascii="Arial" w:eastAsia="Arial" w:hAnsi="Arial" w:cs="Arial"/>
          <w:i/>
          <w:color w:val="222222"/>
          <w:sz w:val="24"/>
          <w:szCs w:val="24"/>
        </w:rPr>
        <w:t xml:space="preserve">et al. </w:t>
      </w:r>
      <w:r>
        <w:rPr>
          <w:rFonts w:ascii="Arial" w:eastAsia="Arial" w:hAnsi="Arial" w:cs="Arial"/>
          <w:sz w:val="24"/>
          <w:szCs w:val="24"/>
        </w:rPr>
        <w:t xml:space="preserve">Classificação de risco em serviços de emergência: uma discussão da literatura sobre o Sistema de Triagem de Manchester. </w:t>
      </w:r>
      <w:r>
        <w:rPr>
          <w:rFonts w:ascii="Arial" w:eastAsia="Arial" w:hAnsi="Arial" w:cs="Arial"/>
          <w:b/>
          <w:sz w:val="24"/>
          <w:szCs w:val="24"/>
        </w:rPr>
        <w:t>Revista Médica de Minas Gerais</w:t>
      </w:r>
      <w:r>
        <w:rPr>
          <w:rFonts w:ascii="Arial" w:eastAsia="Arial" w:hAnsi="Arial" w:cs="Arial"/>
          <w:sz w:val="24"/>
          <w:szCs w:val="24"/>
        </w:rPr>
        <w:t>, v. 22, n. 2, p. 188-198, 2012. Disponível em: http://www.rmmg.org/artigo/detalhes/101. Acesso em: 10 out. 2022.</w:t>
      </w:r>
    </w:p>
    <w:p w14:paraId="180066E2"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DINIZ, A. S. </w:t>
      </w:r>
      <w:r>
        <w:rPr>
          <w:rFonts w:ascii="Arial" w:eastAsia="Arial" w:hAnsi="Arial" w:cs="Arial"/>
          <w:i/>
          <w:sz w:val="24"/>
          <w:szCs w:val="24"/>
        </w:rPr>
        <w:t>et al</w:t>
      </w:r>
      <w:r>
        <w:rPr>
          <w:rFonts w:ascii="Arial" w:eastAsia="Arial" w:hAnsi="Arial" w:cs="Arial"/>
          <w:sz w:val="24"/>
          <w:szCs w:val="24"/>
        </w:rPr>
        <w:t xml:space="preserve">. Demanda clínica de uma unidade de pronto atendimento, segundo o protocolo de Manchester. </w:t>
      </w:r>
      <w:r>
        <w:rPr>
          <w:rFonts w:ascii="Arial" w:eastAsia="Arial" w:hAnsi="Arial" w:cs="Arial"/>
          <w:b/>
          <w:sz w:val="24"/>
          <w:szCs w:val="24"/>
        </w:rPr>
        <w:t>Revista Eletrônica de Enfermagem</w:t>
      </w:r>
      <w:r>
        <w:rPr>
          <w:rFonts w:ascii="Arial" w:eastAsia="Arial" w:hAnsi="Arial" w:cs="Arial"/>
          <w:sz w:val="24"/>
          <w:szCs w:val="24"/>
        </w:rPr>
        <w:t>, v. 16, n. 2, p. 312-320, 30 jun. 2014. Doi: http://dx.doi.org/10.5216/ree.v16i2.21700.</w:t>
      </w:r>
    </w:p>
    <w:p w14:paraId="6277AEA3"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DURO, C. L. M. </w:t>
      </w:r>
      <w:r>
        <w:rPr>
          <w:rFonts w:ascii="Arial" w:eastAsia="Arial" w:hAnsi="Arial" w:cs="Arial"/>
          <w:i/>
          <w:sz w:val="24"/>
          <w:szCs w:val="24"/>
        </w:rPr>
        <w:t xml:space="preserve">et al. </w:t>
      </w:r>
      <w:r>
        <w:rPr>
          <w:rFonts w:ascii="Arial" w:eastAsia="Arial" w:hAnsi="Arial" w:cs="Arial"/>
          <w:sz w:val="24"/>
          <w:szCs w:val="24"/>
        </w:rPr>
        <w:t xml:space="preserve">Percepção dos enfermeiros sobre a classificação de risco em unidades de pronto atendimento. </w:t>
      </w:r>
      <w:r>
        <w:rPr>
          <w:rFonts w:ascii="Arial" w:eastAsia="Arial" w:hAnsi="Arial" w:cs="Arial"/>
          <w:b/>
          <w:sz w:val="24"/>
          <w:szCs w:val="24"/>
        </w:rPr>
        <w:t>Revista Rene,</w:t>
      </w:r>
      <w:r>
        <w:rPr>
          <w:rFonts w:ascii="Arial" w:eastAsia="Arial" w:hAnsi="Arial" w:cs="Arial"/>
          <w:sz w:val="24"/>
          <w:szCs w:val="24"/>
        </w:rPr>
        <w:t xml:space="preserve"> v. 15, n. 3, p. 447-454, 2014.</w:t>
      </w:r>
    </w:p>
    <w:p w14:paraId="24738872"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DURO, C. L. M.; LIMA, M. A. D. S. The nurse's role in emergency triage systems: literature analysis. </w:t>
      </w:r>
      <w:r>
        <w:rPr>
          <w:rFonts w:ascii="Arial" w:eastAsia="Arial" w:hAnsi="Arial" w:cs="Arial"/>
          <w:b/>
          <w:sz w:val="24"/>
          <w:szCs w:val="24"/>
        </w:rPr>
        <w:t>Online Brazilian Journal of Nursing</w:t>
      </w:r>
      <w:r>
        <w:rPr>
          <w:rFonts w:ascii="Arial" w:eastAsia="Arial" w:hAnsi="Arial" w:cs="Arial"/>
          <w:sz w:val="24"/>
          <w:szCs w:val="24"/>
        </w:rPr>
        <w:t xml:space="preserve">, v. 9, n. 3, p. 0, 2010. Doi:. </w:t>
      </w:r>
      <w:hyperlink r:id="rId14">
        <w:r>
          <w:rPr>
            <w:rFonts w:ascii="Arial" w:eastAsia="Arial" w:hAnsi="Arial" w:cs="Arial"/>
            <w:color w:val="1155CC"/>
            <w:sz w:val="24"/>
            <w:szCs w:val="24"/>
            <w:u w:val="single"/>
          </w:rPr>
          <w:t>http://dx.doi.org/10.5935/1676-4285.20103132</w:t>
        </w:r>
      </w:hyperlink>
      <w:r>
        <w:rPr>
          <w:rFonts w:ascii="Arial" w:eastAsia="Arial" w:hAnsi="Arial" w:cs="Arial"/>
          <w:sz w:val="24"/>
          <w:szCs w:val="24"/>
        </w:rPr>
        <w:t>.</w:t>
      </w:r>
    </w:p>
    <w:p w14:paraId="7F464019"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EM </w:t>
      </w:r>
      <w:hyperlink r:id="rId15">
        <w:r>
          <w:rPr>
            <w:rFonts w:ascii="Arial" w:eastAsia="Arial" w:hAnsi="Arial" w:cs="Arial"/>
            <w:sz w:val="24"/>
            <w:szCs w:val="24"/>
          </w:rPr>
          <w:t>ABNT</w:t>
        </w:r>
      </w:hyperlink>
      <w:r>
        <w:rPr>
          <w:rFonts w:ascii="Arial" w:eastAsia="Arial" w:hAnsi="Arial" w:cs="Arial"/>
          <w:sz w:val="24"/>
          <w:szCs w:val="24"/>
        </w:rPr>
        <w:t xml:space="preserve">, </w:t>
      </w:r>
      <w:hyperlink r:id="rId16">
        <w:r>
          <w:rPr>
            <w:rFonts w:ascii="Arial" w:eastAsia="Arial" w:hAnsi="Arial" w:cs="Arial"/>
            <w:sz w:val="24"/>
            <w:szCs w:val="24"/>
          </w:rPr>
          <w:t>APA</w:t>
        </w:r>
      </w:hyperlink>
      <w:r>
        <w:rPr>
          <w:rFonts w:ascii="Arial" w:eastAsia="Arial" w:hAnsi="Arial" w:cs="Arial"/>
          <w:sz w:val="24"/>
          <w:szCs w:val="24"/>
        </w:rPr>
        <w:t xml:space="preserve">, </w:t>
      </w:r>
      <w:hyperlink r:id="rId17">
        <w:r>
          <w:rPr>
            <w:rFonts w:ascii="Arial" w:eastAsia="Arial" w:hAnsi="Arial" w:cs="Arial"/>
            <w:sz w:val="24"/>
            <w:szCs w:val="24"/>
          </w:rPr>
          <w:t>JOSÉ DE ALENCAR</w:t>
        </w:r>
      </w:hyperlink>
      <w:r>
        <w:rPr>
          <w:rFonts w:ascii="Arial" w:eastAsia="Arial" w:hAnsi="Arial" w:cs="Arial"/>
          <w:sz w:val="24"/>
          <w:szCs w:val="24"/>
        </w:rPr>
        <w:t xml:space="preserve">, </w:t>
      </w:r>
      <w:hyperlink r:id="rId18">
        <w:r>
          <w:rPr>
            <w:rFonts w:ascii="Arial" w:eastAsia="Arial" w:hAnsi="Arial" w:cs="Arial"/>
            <w:sz w:val="24"/>
            <w:szCs w:val="24"/>
          </w:rPr>
          <w:t>ONDE NASCE O SUCESSO</w:t>
        </w:r>
      </w:hyperlink>
      <w:r>
        <w:rPr>
          <w:rFonts w:ascii="Arial" w:eastAsia="Arial" w:hAnsi="Arial" w:cs="Arial"/>
          <w:sz w:val="24"/>
          <w:szCs w:val="24"/>
        </w:rPr>
        <w:t xml:space="preserve">, </w:t>
      </w:r>
      <w:hyperlink r:id="rId19">
        <w:r>
          <w:rPr>
            <w:rFonts w:ascii="Arial" w:eastAsia="Arial" w:hAnsi="Arial" w:cs="Arial"/>
            <w:sz w:val="24"/>
            <w:szCs w:val="24"/>
          </w:rPr>
          <w:t>REVISÃO DE ARTIGOS CIENTÍFICOS E DE MONOGRAFIAS</w:t>
        </w:r>
      </w:hyperlink>
      <w:r>
        <w:rPr>
          <w:rFonts w:ascii="Arial" w:eastAsia="Arial" w:hAnsi="Arial" w:cs="Arial"/>
          <w:sz w:val="24"/>
          <w:szCs w:val="24"/>
        </w:rPr>
        <w:t xml:space="preserve">, </w:t>
      </w:r>
      <w:hyperlink r:id="rId20">
        <w:r>
          <w:rPr>
            <w:rFonts w:ascii="Arial" w:eastAsia="Arial" w:hAnsi="Arial" w:cs="Arial"/>
            <w:sz w:val="24"/>
            <w:szCs w:val="24"/>
            <w:u w:val="single"/>
          </w:rPr>
          <w:t>REVISÃO DE TESES E DE TCCS</w:t>
        </w:r>
      </w:hyperlink>
      <w:r>
        <w:rPr>
          <w:rFonts w:ascii="Arial" w:eastAsia="Arial" w:hAnsi="Arial" w:cs="Arial"/>
          <w:sz w:val="24"/>
          <w:szCs w:val="24"/>
        </w:rPr>
        <w:t xml:space="preserve">, </w:t>
      </w:r>
      <w:hyperlink r:id="rId21">
        <w:r>
          <w:rPr>
            <w:rFonts w:ascii="Arial" w:eastAsia="Arial" w:hAnsi="Arial" w:cs="Arial"/>
            <w:sz w:val="24"/>
            <w:szCs w:val="24"/>
          </w:rPr>
          <w:t>REVISÃO DE TEXTOS</w:t>
        </w:r>
      </w:hyperlink>
      <w:r>
        <w:rPr>
          <w:rFonts w:ascii="Arial" w:eastAsia="Arial" w:hAnsi="Arial" w:cs="Arial"/>
          <w:sz w:val="24"/>
          <w:szCs w:val="24"/>
        </w:rPr>
        <w:t xml:space="preserve">, </w:t>
      </w:r>
      <w:hyperlink r:id="rId22">
        <w:r>
          <w:rPr>
            <w:rFonts w:ascii="Arial" w:eastAsia="Arial" w:hAnsi="Arial" w:cs="Arial"/>
            <w:sz w:val="24"/>
            <w:szCs w:val="24"/>
          </w:rPr>
          <w:t>VANCOUVER</w:t>
        </w:r>
      </w:hyperlink>
      <w:r>
        <w:rPr>
          <w:rFonts w:ascii="Arial" w:eastAsia="Arial" w:hAnsi="Arial" w:cs="Arial"/>
          <w:sz w:val="24"/>
          <w:szCs w:val="24"/>
        </w:rPr>
        <w:t>.</w:t>
      </w:r>
    </w:p>
    <w:p w14:paraId="4515F23F" w14:textId="77777777" w:rsidR="00787BF7" w:rsidRDefault="00000000">
      <w:pPr>
        <w:pBdr>
          <w:top w:val="nil"/>
          <w:left w:val="nil"/>
          <w:bottom w:val="nil"/>
          <w:right w:val="nil"/>
          <w:between w:val="nil"/>
        </w:pBdr>
        <w:spacing w:after="240" w:line="240" w:lineRule="auto"/>
        <w:rPr>
          <w:rFonts w:ascii="Arial" w:eastAsia="Arial" w:hAnsi="Arial" w:cs="Arial"/>
          <w:color w:val="222222"/>
          <w:sz w:val="24"/>
          <w:szCs w:val="24"/>
        </w:rPr>
      </w:pPr>
      <w:r>
        <w:rPr>
          <w:rFonts w:ascii="Arial" w:eastAsia="Arial" w:hAnsi="Arial" w:cs="Arial"/>
          <w:sz w:val="24"/>
          <w:szCs w:val="24"/>
        </w:rPr>
        <w:t xml:space="preserve">FEIJÓ, V. B. E. R. </w:t>
      </w:r>
      <w:r>
        <w:rPr>
          <w:rFonts w:ascii="Arial" w:eastAsia="Arial" w:hAnsi="Arial" w:cs="Arial"/>
          <w:i/>
          <w:sz w:val="24"/>
          <w:szCs w:val="24"/>
        </w:rPr>
        <w:t>et al</w:t>
      </w:r>
      <w:r>
        <w:rPr>
          <w:rFonts w:ascii="Arial" w:eastAsia="Arial" w:hAnsi="Arial" w:cs="Arial"/>
          <w:sz w:val="24"/>
          <w:szCs w:val="24"/>
        </w:rPr>
        <w:t xml:space="preserve">. Análise da demanda atendida em unidade de urgência com classificação de risco. </w:t>
      </w:r>
      <w:r>
        <w:rPr>
          <w:rFonts w:ascii="Arial" w:eastAsia="Arial" w:hAnsi="Arial" w:cs="Arial"/>
          <w:b/>
          <w:sz w:val="24"/>
          <w:szCs w:val="24"/>
        </w:rPr>
        <w:t>Saúde em Debate</w:t>
      </w:r>
      <w:r>
        <w:rPr>
          <w:rFonts w:ascii="Arial" w:eastAsia="Arial" w:hAnsi="Arial" w:cs="Arial"/>
          <w:sz w:val="24"/>
          <w:szCs w:val="24"/>
        </w:rPr>
        <w:t>, v. 39, n. 106, p. 627-636, set. 2015. Doi: http://dx.doi.org/10.1590/0103-110420151060003005.</w:t>
      </w:r>
      <w:r>
        <w:rPr>
          <w:rFonts w:ascii="Arial" w:eastAsia="Arial" w:hAnsi="Arial" w:cs="Arial"/>
          <w:color w:val="222222"/>
          <w:sz w:val="24"/>
          <w:szCs w:val="24"/>
        </w:rPr>
        <w:t xml:space="preserve"> </w:t>
      </w:r>
    </w:p>
    <w:p w14:paraId="75FB3BC4"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GATTI, M. F. Z. </w:t>
      </w:r>
      <w:r>
        <w:rPr>
          <w:rFonts w:ascii="Arial" w:eastAsia="Arial" w:hAnsi="Arial" w:cs="Arial"/>
          <w:b/>
          <w:sz w:val="24"/>
          <w:szCs w:val="24"/>
        </w:rPr>
        <w:t>Triagem de enfermagem em serviço de emergência</w:t>
      </w:r>
      <w:r>
        <w:rPr>
          <w:rFonts w:ascii="Arial" w:eastAsia="Arial" w:hAnsi="Arial" w:cs="Arial"/>
          <w:sz w:val="24"/>
          <w:szCs w:val="24"/>
        </w:rPr>
        <w:t>. São Paulo: Papirus, 2008.</w:t>
      </w:r>
    </w:p>
    <w:p w14:paraId="4230C916" w14:textId="77777777" w:rsidR="00787BF7" w:rsidRDefault="00000000">
      <w:pPr>
        <w:pBdr>
          <w:top w:val="nil"/>
          <w:left w:val="nil"/>
          <w:bottom w:val="nil"/>
          <w:right w:val="nil"/>
          <w:between w:val="nil"/>
        </w:pBdr>
        <w:spacing w:after="240" w:line="240" w:lineRule="auto"/>
        <w:rPr>
          <w:rFonts w:ascii="Arial" w:eastAsia="Arial" w:hAnsi="Arial" w:cs="Arial"/>
          <w:color w:val="222222"/>
          <w:sz w:val="24"/>
          <w:szCs w:val="24"/>
        </w:rPr>
      </w:pPr>
      <w:r>
        <w:rPr>
          <w:rFonts w:ascii="Arial" w:eastAsia="Arial" w:hAnsi="Arial" w:cs="Arial"/>
          <w:sz w:val="24"/>
          <w:szCs w:val="24"/>
        </w:rPr>
        <w:t xml:space="preserve">GRUPO BRASILEIRO DE CLASSIFICAÇÃO DE RISCO. </w:t>
      </w:r>
      <w:r>
        <w:rPr>
          <w:rFonts w:ascii="Arial" w:eastAsia="Arial" w:hAnsi="Arial" w:cs="Arial"/>
          <w:b/>
          <w:sz w:val="24"/>
          <w:szCs w:val="24"/>
        </w:rPr>
        <w:t>Diretrizes para implementação do sistema Manchester de classificação de risco nos pontos de atenção às urgências e emergências</w:t>
      </w:r>
      <w:r>
        <w:rPr>
          <w:rFonts w:ascii="Arial" w:eastAsia="Arial" w:hAnsi="Arial" w:cs="Arial"/>
          <w:sz w:val="24"/>
          <w:szCs w:val="24"/>
        </w:rPr>
        <w:t xml:space="preserve">, 2013. Disponível em: https://www.gbcr.org.br/wp-content/uploads/2021/03/DIRETRIZES.pdf. </w:t>
      </w:r>
      <w:r>
        <w:rPr>
          <w:rFonts w:ascii="Arial" w:eastAsia="Arial" w:hAnsi="Arial" w:cs="Arial"/>
          <w:color w:val="222222"/>
          <w:sz w:val="24"/>
          <w:szCs w:val="24"/>
        </w:rPr>
        <w:t>Acesso em: 20 out. 2022.</w:t>
      </w:r>
    </w:p>
    <w:p w14:paraId="649F26A2" w14:textId="77777777" w:rsidR="00787BF7" w:rsidRDefault="00000000">
      <w:pPr>
        <w:pBdr>
          <w:top w:val="nil"/>
          <w:left w:val="nil"/>
          <w:bottom w:val="nil"/>
          <w:right w:val="nil"/>
          <w:between w:val="nil"/>
        </w:pBdr>
        <w:spacing w:after="240" w:line="240" w:lineRule="auto"/>
        <w:rPr>
          <w:rFonts w:ascii="Arial" w:eastAsia="Arial" w:hAnsi="Arial" w:cs="Arial"/>
          <w:color w:val="222222"/>
          <w:sz w:val="24"/>
          <w:szCs w:val="24"/>
        </w:rPr>
      </w:pPr>
      <w:r>
        <w:rPr>
          <w:rFonts w:ascii="Arial" w:eastAsia="Arial" w:hAnsi="Arial" w:cs="Arial"/>
          <w:color w:val="222222"/>
          <w:sz w:val="24"/>
          <w:szCs w:val="24"/>
        </w:rPr>
        <w:t>Guedes VM,Henriques CA, Lima MM.Acolhimento em um serviço de emergência: percepção dos usuários.Rev. Brasileira de Enfermagem 2013. [ acessado em 25/10/22as 10:30] Disponível: http://www.scielo.br/pdf/reben/v66n1/v66n1a05.pdf</w:t>
      </w:r>
    </w:p>
    <w:p w14:paraId="489A064B" w14:textId="77777777" w:rsidR="00787BF7" w:rsidRDefault="00000000">
      <w:pPr>
        <w:pBdr>
          <w:top w:val="nil"/>
          <w:left w:val="nil"/>
          <w:bottom w:val="nil"/>
          <w:right w:val="nil"/>
          <w:between w:val="nil"/>
        </w:pBdr>
        <w:spacing w:after="240" w:line="240" w:lineRule="auto"/>
        <w:rPr>
          <w:rFonts w:ascii="Arial" w:eastAsia="Arial" w:hAnsi="Arial" w:cs="Arial"/>
          <w:color w:val="222222"/>
          <w:sz w:val="24"/>
          <w:szCs w:val="24"/>
        </w:rPr>
      </w:pPr>
      <w:r>
        <w:rPr>
          <w:rFonts w:ascii="Arial" w:eastAsia="Arial" w:hAnsi="Arial" w:cs="Arial"/>
          <w:sz w:val="24"/>
          <w:szCs w:val="24"/>
        </w:rPr>
        <w:t xml:space="preserve">HERMIDA, P. M. V. </w:t>
      </w:r>
      <w:r>
        <w:rPr>
          <w:rFonts w:ascii="Arial" w:eastAsia="Arial" w:hAnsi="Arial" w:cs="Arial"/>
          <w:i/>
          <w:sz w:val="24"/>
          <w:szCs w:val="24"/>
        </w:rPr>
        <w:t>et al</w:t>
      </w:r>
      <w:r>
        <w:rPr>
          <w:rFonts w:ascii="Arial" w:eastAsia="Arial" w:hAnsi="Arial" w:cs="Arial"/>
          <w:sz w:val="24"/>
          <w:szCs w:val="24"/>
        </w:rPr>
        <w:t xml:space="preserve">. Acolhimento com classificação de risco em unidade de pronto atendimento: estudo avaliativo. </w:t>
      </w:r>
      <w:r>
        <w:rPr>
          <w:rFonts w:ascii="Arial" w:eastAsia="Arial" w:hAnsi="Arial" w:cs="Arial"/>
          <w:b/>
          <w:sz w:val="24"/>
          <w:szCs w:val="24"/>
        </w:rPr>
        <w:t>Revista da Escola de Enfermagem da USP</w:t>
      </w:r>
      <w:r>
        <w:rPr>
          <w:rFonts w:ascii="Arial" w:eastAsia="Arial" w:hAnsi="Arial" w:cs="Arial"/>
          <w:sz w:val="24"/>
          <w:szCs w:val="24"/>
        </w:rPr>
        <w:t>, v. 52, p. 03318, 2018. Doi: http://dx.doi.org/10.1590/s1980-220x2017001303318.</w:t>
      </w:r>
    </w:p>
    <w:p w14:paraId="57F0453C" w14:textId="77777777" w:rsidR="00787BF7" w:rsidRDefault="00000000">
      <w:pPr>
        <w:pBdr>
          <w:top w:val="nil"/>
          <w:left w:val="nil"/>
          <w:bottom w:val="nil"/>
          <w:right w:val="nil"/>
          <w:between w:val="nil"/>
        </w:pBdr>
        <w:spacing w:after="240" w:line="240" w:lineRule="auto"/>
        <w:rPr>
          <w:rFonts w:ascii="Arial" w:eastAsia="Arial" w:hAnsi="Arial" w:cs="Arial"/>
          <w:color w:val="222222"/>
          <w:sz w:val="24"/>
          <w:szCs w:val="24"/>
        </w:rPr>
      </w:pPr>
      <w:r>
        <w:rPr>
          <w:rFonts w:ascii="Arial" w:eastAsia="Arial" w:hAnsi="Arial" w:cs="Arial"/>
          <w:color w:val="222222"/>
          <w:sz w:val="24"/>
          <w:szCs w:val="24"/>
        </w:rPr>
        <w:t xml:space="preserve">MACHADO, G. V. C. </w:t>
      </w:r>
      <w:r>
        <w:rPr>
          <w:rFonts w:ascii="Arial" w:eastAsia="Arial" w:hAnsi="Arial" w:cs="Arial"/>
          <w:i/>
          <w:color w:val="222222"/>
          <w:sz w:val="24"/>
          <w:szCs w:val="24"/>
        </w:rPr>
        <w:t>et al</w:t>
      </w:r>
      <w:r>
        <w:rPr>
          <w:rFonts w:ascii="Arial" w:eastAsia="Arial" w:hAnsi="Arial" w:cs="Arial"/>
          <w:color w:val="222222"/>
          <w:sz w:val="24"/>
          <w:szCs w:val="24"/>
        </w:rPr>
        <w:t xml:space="preserve">. A visão do usuário em relação à qualidade do atendimento em um serviço de urgência. </w:t>
      </w:r>
      <w:r>
        <w:rPr>
          <w:rFonts w:ascii="Arial" w:eastAsia="Arial" w:hAnsi="Arial" w:cs="Arial"/>
          <w:b/>
          <w:color w:val="222222"/>
          <w:sz w:val="24"/>
          <w:szCs w:val="24"/>
        </w:rPr>
        <w:t>Revista Médica de Minas Gerais</w:t>
      </w:r>
      <w:r>
        <w:rPr>
          <w:rFonts w:ascii="Arial" w:eastAsia="Arial" w:hAnsi="Arial" w:cs="Arial"/>
          <w:color w:val="222222"/>
          <w:sz w:val="24"/>
          <w:szCs w:val="24"/>
        </w:rPr>
        <w:t>, v. 26, e1777, 2016. Disponível em: http://www.rmmg.org/artigo/detalhes/2057. Acesso em: 20 out. 2022.</w:t>
      </w:r>
    </w:p>
    <w:p w14:paraId="379CEE68" w14:textId="77777777" w:rsidR="00787BF7" w:rsidRDefault="00000000">
      <w:pPr>
        <w:pBdr>
          <w:top w:val="nil"/>
          <w:left w:val="nil"/>
          <w:bottom w:val="nil"/>
          <w:right w:val="nil"/>
          <w:between w:val="nil"/>
        </w:pBdr>
        <w:spacing w:after="240" w:line="240" w:lineRule="auto"/>
        <w:rPr>
          <w:rFonts w:ascii="Arial" w:eastAsia="Arial" w:hAnsi="Arial" w:cs="Arial"/>
          <w:color w:val="222222"/>
          <w:sz w:val="24"/>
          <w:szCs w:val="24"/>
        </w:rPr>
      </w:pPr>
      <w:r>
        <w:rPr>
          <w:rFonts w:ascii="Arial" w:eastAsia="Arial" w:hAnsi="Arial" w:cs="Arial"/>
          <w:color w:val="222222"/>
          <w:sz w:val="24"/>
          <w:szCs w:val="24"/>
        </w:rPr>
        <w:t>MEDEIROS, Ana Ligia Silva. Desconhecida pela comunidade e desprezada pelas autoridades: a biblioteca pública no Brasil na opinião de atores políticos e pesquisadores. Orientadora: Gilda Olinto. Rio de Janeiro, 2015. 175 f. Tese (Doutorado em Ciência da Informação) – Escola de Comunicação, Universidade Federal do Rio de Janeiro, Programa de Pós-Graduação em Ciência da Informação, Instituto Brasileiro de informação em Ciência e Tecnologia, Rio de Janeiro, 2015</w:t>
      </w:r>
    </w:p>
    <w:p w14:paraId="1A72DCEE" w14:textId="77777777" w:rsidR="00787BF7" w:rsidRDefault="00000000">
      <w:pPr>
        <w:pBdr>
          <w:top w:val="nil"/>
          <w:left w:val="nil"/>
          <w:bottom w:val="nil"/>
          <w:right w:val="nil"/>
          <w:between w:val="nil"/>
        </w:pBdr>
        <w:spacing w:after="240" w:line="240" w:lineRule="auto"/>
        <w:rPr>
          <w:rFonts w:ascii="Arial" w:eastAsia="Arial" w:hAnsi="Arial" w:cs="Arial"/>
          <w:color w:val="222222"/>
          <w:sz w:val="24"/>
          <w:szCs w:val="24"/>
        </w:rPr>
      </w:pPr>
      <w:r>
        <w:rPr>
          <w:rFonts w:ascii="Arial" w:eastAsia="Arial" w:hAnsi="Arial" w:cs="Arial"/>
          <w:color w:val="222222"/>
          <w:sz w:val="24"/>
          <w:szCs w:val="24"/>
          <w:highlight w:val="white"/>
        </w:rPr>
        <w:t xml:space="preserve">MELO, Maria do Carmo Barros de; SILVA, Nara Lúcia Carvalho da. </w:t>
      </w:r>
      <w:r>
        <w:rPr>
          <w:rFonts w:ascii="Arial" w:eastAsia="Arial" w:hAnsi="Arial" w:cs="Arial"/>
          <w:b/>
          <w:color w:val="222222"/>
          <w:sz w:val="24"/>
          <w:szCs w:val="24"/>
          <w:highlight w:val="white"/>
        </w:rPr>
        <w:t>Urgência e Emergência na Atenção Primária à Saúde</w:t>
      </w:r>
      <w:r>
        <w:rPr>
          <w:rFonts w:ascii="Arial" w:eastAsia="Arial" w:hAnsi="Arial" w:cs="Arial"/>
          <w:color w:val="222222"/>
          <w:sz w:val="24"/>
          <w:szCs w:val="24"/>
          <w:highlight w:val="white"/>
        </w:rPr>
        <w:t>. 2011. 141 f. TCC (Graduação) - Curso de Enfermagem, Ufmg, Belo Horizonte, 2011. Cap. 9.</w:t>
      </w:r>
    </w:p>
    <w:p w14:paraId="4392656F"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NASCIMENTO, E. R. P. </w:t>
      </w:r>
      <w:r>
        <w:rPr>
          <w:rFonts w:ascii="Arial" w:eastAsia="Arial" w:hAnsi="Arial" w:cs="Arial"/>
          <w:i/>
          <w:sz w:val="24"/>
          <w:szCs w:val="24"/>
        </w:rPr>
        <w:t>et al</w:t>
      </w:r>
      <w:r>
        <w:rPr>
          <w:rFonts w:ascii="Arial" w:eastAsia="Arial" w:hAnsi="Arial" w:cs="Arial"/>
          <w:sz w:val="24"/>
          <w:szCs w:val="24"/>
        </w:rPr>
        <w:t xml:space="preserve">. Acolhimento com classificação de risco: avaliação dos profissionais de enfermagem de um serviço de emergência. </w:t>
      </w:r>
      <w:r>
        <w:rPr>
          <w:rFonts w:ascii="Arial" w:eastAsia="Arial" w:hAnsi="Arial" w:cs="Arial"/>
          <w:b/>
          <w:sz w:val="24"/>
          <w:szCs w:val="24"/>
        </w:rPr>
        <w:t>Revista Eletrônica de Enfermagem</w:t>
      </w:r>
      <w:r>
        <w:rPr>
          <w:rFonts w:ascii="Arial" w:eastAsia="Arial" w:hAnsi="Arial" w:cs="Arial"/>
          <w:sz w:val="24"/>
          <w:szCs w:val="24"/>
        </w:rPr>
        <w:t>, v. 13, n. 4, p. 597-603, 31 dez. 2011. Doi: http://dx.doi.org/10.5216/ree.v13i4.11812.</w:t>
      </w:r>
    </w:p>
    <w:p w14:paraId="624A3E65"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NUNES, B. X. </w:t>
      </w:r>
      <w:r>
        <w:rPr>
          <w:rFonts w:ascii="Arial" w:eastAsia="Arial" w:hAnsi="Arial" w:cs="Arial"/>
          <w:i/>
          <w:sz w:val="24"/>
          <w:szCs w:val="24"/>
        </w:rPr>
        <w:t>et al.</w:t>
      </w:r>
      <w:r>
        <w:rPr>
          <w:rFonts w:ascii="Arial" w:eastAsia="Arial" w:hAnsi="Arial" w:cs="Arial"/>
          <w:sz w:val="24"/>
          <w:szCs w:val="24"/>
        </w:rPr>
        <w:t xml:space="preserve"> Atuação do enfermeiro no acolhimento com classificação de risco: caracterização do atendimento mediante protocolos: uma revisão da literatura. </w:t>
      </w:r>
      <w:r>
        <w:rPr>
          <w:rFonts w:ascii="Arial" w:eastAsia="Arial" w:hAnsi="Arial" w:cs="Arial"/>
          <w:b/>
          <w:sz w:val="24"/>
          <w:szCs w:val="24"/>
        </w:rPr>
        <w:t>Revista eletrônica de trabalhos acadêmicos Universo</w:t>
      </w:r>
      <w:r>
        <w:rPr>
          <w:rFonts w:ascii="Arial" w:eastAsia="Arial" w:hAnsi="Arial" w:cs="Arial"/>
          <w:sz w:val="24"/>
          <w:szCs w:val="24"/>
        </w:rPr>
        <w:t>, v. 2, n. 4, 2017. Disponível em: http://revista.universo.edu.br/index.php?journal=3GOIANIA4&amp;page= article&amp;op=view&amp;path%5B%5D=6462. Acesso em: 18 out. 2022.</w:t>
      </w:r>
    </w:p>
    <w:p w14:paraId="5548982F"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OLIVEIRA, J. L. C. </w:t>
      </w:r>
      <w:r>
        <w:rPr>
          <w:rFonts w:ascii="Arial" w:eastAsia="Arial" w:hAnsi="Arial" w:cs="Arial"/>
          <w:i/>
          <w:sz w:val="24"/>
          <w:szCs w:val="24"/>
        </w:rPr>
        <w:t>et al</w:t>
      </w:r>
      <w:r>
        <w:rPr>
          <w:rFonts w:ascii="Arial" w:eastAsia="Arial" w:hAnsi="Arial" w:cs="Arial"/>
          <w:sz w:val="24"/>
          <w:szCs w:val="24"/>
        </w:rPr>
        <w:t xml:space="preserve">. Acolhimento com classificação de risco: percepções de usuários de uma unidade de pronto atendimento. </w:t>
      </w:r>
      <w:r>
        <w:rPr>
          <w:rFonts w:ascii="Arial" w:eastAsia="Arial" w:hAnsi="Arial" w:cs="Arial"/>
          <w:b/>
          <w:sz w:val="24"/>
          <w:szCs w:val="24"/>
        </w:rPr>
        <w:t>Texto &amp; Contexto - Enfermagem</w:t>
      </w:r>
      <w:r>
        <w:rPr>
          <w:rFonts w:ascii="Arial" w:eastAsia="Arial" w:hAnsi="Arial" w:cs="Arial"/>
          <w:sz w:val="24"/>
          <w:szCs w:val="24"/>
        </w:rPr>
        <w:t>, v. 26, n. 1, e0960014, 2017. Doi: http://dx.doi.org/10.1590/0104-07072017000960014.</w:t>
      </w:r>
    </w:p>
    <w:p w14:paraId="5D0327B4"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PIRES, M. T. </w:t>
      </w:r>
      <w:r>
        <w:rPr>
          <w:rFonts w:ascii="Arial" w:eastAsia="Arial" w:hAnsi="Arial" w:cs="Arial"/>
          <w:i/>
          <w:sz w:val="24"/>
          <w:szCs w:val="24"/>
        </w:rPr>
        <w:t>et al</w:t>
      </w:r>
      <w:r>
        <w:rPr>
          <w:rFonts w:ascii="Arial" w:eastAsia="Arial" w:hAnsi="Arial" w:cs="Arial"/>
          <w:sz w:val="24"/>
          <w:szCs w:val="24"/>
        </w:rPr>
        <w:t xml:space="preserve">. </w:t>
      </w:r>
      <w:r>
        <w:rPr>
          <w:rFonts w:ascii="Arial" w:eastAsia="Arial" w:hAnsi="Arial" w:cs="Arial"/>
          <w:b/>
          <w:sz w:val="24"/>
          <w:szCs w:val="24"/>
        </w:rPr>
        <w:t>Emergências médicas</w:t>
      </w:r>
      <w:r>
        <w:rPr>
          <w:rFonts w:ascii="Arial" w:eastAsia="Arial" w:hAnsi="Arial" w:cs="Arial"/>
          <w:sz w:val="24"/>
          <w:szCs w:val="24"/>
        </w:rPr>
        <w:t xml:space="preserve">. Rio de Janeiro: MedBook, 2013. </w:t>
      </w:r>
    </w:p>
    <w:p w14:paraId="5D16FC0E"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PRUDÊNCIO, R. S.; CERETTA, L. B.; SORATTO, M. T. Assistência de enfermagem frente ao paciente com acidente vascular encefálico no setor de emergência. </w:t>
      </w:r>
      <w:r>
        <w:rPr>
          <w:rFonts w:ascii="Arial" w:eastAsia="Arial" w:hAnsi="Arial" w:cs="Arial"/>
          <w:b/>
          <w:sz w:val="24"/>
          <w:szCs w:val="24"/>
        </w:rPr>
        <w:t>Enfermagem Brasil</w:t>
      </w:r>
      <w:r>
        <w:rPr>
          <w:rFonts w:ascii="Arial" w:eastAsia="Arial" w:hAnsi="Arial" w:cs="Arial"/>
          <w:sz w:val="24"/>
          <w:szCs w:val="24"/>
        </w:rPr>
        <w:t xml:space="preserve">, v. 15, n. 4, p. 190-197, nov. 2016. Doi: </w:t>
      </w:r>
      <w:hyperlink r:id="rId23">
        <w:r>
          <w:rPr>
            <w:rFonts w:ascii="Arial" w:eastAsia="Arial" w:hAnsi="Arial" w:cs="Arial"/>
            <w:color w:val="1155CC"/>
            <w:sz w:val="24"/>
            <w:szCs w:val="24"/>
            <w:u w:val="single"/>
          </w:rPr>
          <w:t>http://dx.doi.org/10.33233/eb.v15i4.498</w:t>
        </w:r>
      </w:hyperlink>
      <w:r>
        <w:rPr>
          <w:rFonts w:ascii="Arial" w:eastAsia="Arial" w:hAnsi="Arial" w:cs="Arial"/>
          <w:sz w:val="24"/>
          <w:szCs w:val="24"/>
        </w:rPr>
        <w:t>.</w:t>
      </w:r>
    </w:p>
    <w:p w14:paraId="55D092DB"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RONCALLI, A. A. </w:t>
      </w:r>
      <w:r>
        <w:rPr>
          <w:rFonts w:ascii="Arial" w:eastAsia="Arial" w:hAnsi="Arial" w:cs="Arial"/>
          <w:i/>
          <w:sz w:val="24"/>
          <w:szCs w:val="24"/>
        </w:rPr>
        <w:t>et al</w:t>
      </w:r>
      <w:r>
        <w:rPr>
          <w:rFonts w:ascii="Arial" w:eastAsia="Arial" w:hAnsi="Arial" w:cs="Arial"/>
          <w:sz w:val="24"/>
          <w:szCs w:val="24"/>
        </w:rPr>
        <w:t xml:space="preserve">. Protocolo de Manchester e população usuária na classificação de risco: visão do enfermeiro. </w:t>
      </w:r>
      <w:r>
        <w:rPr>
          <w:rFonts w:ascii="Arial" w:eastAsia="Arial" w:hAnsi="Arial" w:cs="Arial"/>
          <w:b/>
          <w:sz w:val="24"/>
          <w:szCs w:val="24"/>
        </w:rPr>
        <w:t>Revista Baiana de Enfermagem‏</w:t>
      </w:r>
      <w:r>
        <w:rPr>
          <w:rFonts w:ascii="Arial" w:eastAsia="Arial" w:hAnsi="Arial" w:cs="Arial"/>
          <w:sz w:val="24"/>
          <w:szCs w:val="24"/>
        </w:rPr>
        <w:t>, v. 31, n. 2, p. 16949, 27 jun. 2017. Doi: http://dx.doi.org/10.18471/rbe.v31i2.16949.</w:t>
      </w:r>
    </w:p>
    <w:p w14:paraId="3D9EB95F"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SACOMAN, T. M. </w:t>
      </w:r>
      <w:r>
        <w:rPr>
          <w:rFonts w:ascii="Arial" w:eastAsia="Arial" w:hAnsi="Arial" w:cs="Arial"/>
          <w:i/>
          <w:sz w:val="24"/>
          <w:szCs w:val="24"/>
        </w:rPr>
        <w:t>et al</w:t>
      </w:r>
      <w:r>
        <w:rPr>
          <w:rFonts w:ascii="Arial" w:eastAsia="Arial" w:hAnsi="Arial" w:cs="Arial"/>
          <w:sz w:val="24"/>
          <w:szCs w:val="24"/>
        </w:rPr>
        <w:t xml:space="preserve">. Implantação do Sistema de Classificação de Risco Manchester em uma rede municipal de urgência. </w:t>
      </w:r>
      <w:r>
        <w:rPr>
          <w:rFonts w:ascii="Arial" w:eastAsia="Arial" w:hAnsi="Arial" w:cs="Arial"/>
          <w:b/>
          <w:sz w:val="24"/>
          <w:szCs w:val="24"/>
        </w:rPr>
        <w:t>Saúde em Debate</w:t>
      </w:r>
      <w:r>
        <w:rPr>
          <w:rFonts w:ascii="Arial" w:eastAsia="Arial" w:hAnsi="Arial" w:cs="Arial"/>
          <w:sz w:val="24"/>
          <w:szCs w:val="24"/>
        </w:rPr>
        <w:t>, v. 43, n. 121, p. 354-367, abr. 2019. Doi: http://dx.doi.org/10.1590/0103-1104201912105.</w:t>
      </w:r>
    </w:p>
    <w:p w14:paraId="0D3A34E0"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color w:val="222222"/>
          <w:sz w:val="24"/>
          <w:szCs w:val="24"/>
        </w:rPr>
        <w:t xml:space="preserve">SANTOS, M. A. Acolhimento com classificação de risco: um fio guia da administração em emergência. </w:t>
      </w:r>
      <w:r>
        <w:rPr>
          <w:rFonts w:ascii="Arial" w:eastAsia="Arial" w:hAnsi="Arial" w:cs="Arial"/>
          <w:b/>
          <w:color w:val="222222"/>
          <w:sz w:val="24"/>
          <w:szCs w:val="24"/>
        </w:rPr>
        <w:t>Revista Saúde e Desenvolvimento</w:t>
      </w:r>
      <w:r>
        <w:rPr>
          <w:rFonts w:ascii="Arial" w:eastAsia="Arial" w:hAnsi="Arial" w:cs="Arial"/>
          <w:color w:val="222222"/>
          <w:sz w:val="24"/>
          <w:szCs w:val="24"/>
        </w:rPr>
        <w:t>, v. 6, n. 3, p. 56-69, 2014. Disponível em: https://www.revistasuninter.com/revistasaude/index.php/ saudeDesenvolvimento/article/view/323. Acesso em: 18 out. 2022.</w:t>
      </w:r>
    </w:p>
    <w:p w14:paraId="0D0B342B"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color w:val="222222"/>
          <w:sz w:val="24"/>
          <w:szCs w:val="24"/>
        </w:rPr>
        <w:t xml:space="preserve">SHIROMA, L. M. B. </w:t>
      </w:r>
      <w:r>
        <w:rPr>
          <w:rFonts w:ascii="Arial" w:eastAsia="Arial" w:hAnsi="Arial" w:cs="Arial"/>
          <w:b/>
          <w:sz w:val="24"/>
          <w:szCs w:val="24"/>
        </w:rPr>
        <w:t>Classificação de risco em serviço de emergência no contexto da política nacional de humanização do SUS</w:t>
      </w:r>
      <w:r>
        <w:rPr>
          <w:rFonts w:ascii="Arial" w:eastAsia="Arial" w:hAnsi="Arial" w:cs="Arial"/>
          <w:sz w:val="24"/>
          <w:szCs w:val="24"/>
        </w:rPr>
        <w:t>: um desafio para os enfermeiros/as</w:t>
      </w:r>
      <w:r>
        <w:rPr>
          <w:rFonts w:ascii="Arial" w:eastAsia="Arial" w:hAnsi="Arial" w:cs="Arial"/>
          <w:color w:val="222222"/>
          <w:sz w:val="24"/>
          <w:szCs w:val="24"/>
        </w:rPr>
        <w:t xml:space="preserve">. 2008. 129 f. </w:t>
      </w:r>
      <w:r>
        <w:rPr>
          <w:rFonts w:ascii="Arial" w:eastAsia="Arial" w:hAnsi="Arial" w:cs="Arial"/>
          <w:sz w:val="24"/>
          <w:szCs w:val="24"/>
        </w:rPr>
        <w:t>Dissertação (Mestrado) - Universidade Federal de Santa Catarina, Centro de Ciências da Saúde. Programa de Pós-graduação em Enfermagem</w:t>
      </w:r>
      <w:r>
        <w:rPr>
          <w:rFonts w:ascii="Arial" w:eastAsia="Arial" w:hAnsi="Arial" w:cs="Arial"/>
          <w:color w:val="222222"/>
          <w:sz w:val="24"/>
          <w:szCs w:val="24"/>
        </w:rPr>
        <w:t>. Florianópolis, 2008.</w:t>
      </w:r>
    </w:p>
    <w:p w14:paraId="01DD1158" w14:textId="77777777" w:rsidR="00787BF7" w:rsidRDefault="00000000">
      <w:pPr>
        <w:pBdr>
          <w:top w:val="nil"/>
          <w:left w:val="nil"/>
          <w:bottom w:val="nil"/>
          <w:right w:val="nil"/>
          <w:between w:val="nil"/>
        </w:pBdr>
        <w:spacing w:after="240" w:line="240" w:lineRule="auto"/>
        <w:rPr>
          <w:rFonts w:ascii="Arial" w:eastAsia="Arial" w:hAnsi="Arial" w:cs="Arial"/>
          <w:color w:val="222222"/>
          <w:sz w:val="24"/>
          <w:szCs w:val="24"/>
        </w:rPr>
      </w:pPr>
      <w:r>
        <w:rPr>
          <w:rFonts w:ascii="Arial" w:eastAsia="Arial" w:hAnsi="Arial" w:cs="Arial"/>
          <w:color w:val="222222"/>
          <w:sz w:val="24"/>
          <w:szCs w:val="24"/>
        </w:rPr>
        <w:t xml:space="preserve">SHIROMA, L. M. B.; PIRES, D. E. Classificação de risco em emergência: um desafio para as/os enfermeiros/os. </w:t>
      </w:r>
      <w:r>
        <w:rPr>
          <w:rFonts w:ascii="Arial" w:eastAsia="Arial" w:hAnsi="Arial" w:cs="Arial"/>
          <w:b/>
          <w:color w:val="222222"/>
          <w:sz w:val="24"/>
          <w:szCs w:val="24"/>
        </w:rPr>
        <w:t>Enfermagem em Foco</w:t>
      </w:r>
      <w:r>
        <w:rPr>
          <w:rFonts w:ascii="Arial" w:eastAsia="Arial" w:hAnsi="Arial" w:cs="Arial"/>
          <w:color w:val="222222"/>
          <w:sz w:val="24"/>
          <w:szCs w:val="24"/>
        </w:rPr>
        <w:t>, v. 2, n. 1, p. 14-17, 2011. Disponível em: http://revista.cofen.gov.br/index.php/enfermagem/article/view/67/54. Acesso em: 18 out. 2022.</w:t>
      </w:r>
    </w:p>
    <w:p w14:paraId="18EF0788"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color w:val="222222"/>
          <w:sz w:val="24"/>
          <w:szCs w:val="24"/>
        </w:rPr>
        <w:t xml:space="preserve">SILVA, L. R. </w:t>
      </w:r>
      <w:r>
        <w:rPr>
          <w:rFonts w:ascii="Arial" w:eastAsia="Arial" w:hAnsi="Arial" w:cs="Arial"/>
          <w:i/>
          <w:color w:val="222222"/>
          <w:sz w:val="24"/>
          <w:szCs w:val="24"/>
        </w:rPr>
        <w:t>et al.</w:t>
      </w:r>
      <w:r>
        <w:rPr>
          <w:rFonts w:ascii="Arial" w:eastAsia="Arial" w:hAnsi="Arial" w:cs="Arial"/>
          <w:color w:val="222222"/>
          <w:sz w:val="24"/>
          <w:szCs w:val="24"/>
        </w:rPr>
        <w:t xml:space="preserve"> </w:t>
      </w:r>
      <w:r>
        <w:rPr>
          <w:rFonts w:ascii="Arial" w:eastAsia="Arial" w:hAnsi="Arial" w:cs="Arial"/>
          <w:sz w:val="24"/>
          <w:szCs w:val="24"/>
        </w:rPr>
        <w:t xml:space="preserve">Protocolo de Manchester: implementação e execução. </w:t>
      </w:r>
      <w:r>
        <w:rPr>
          <w:rFonts w:ascii="Arial" w:eastAsia="Arial" w:hAnsi="Arial" w:cs="Arial"/>
          <w:b/>
          <w:sz w:val="24"/>
          <w:szCs w:val="24"/>
        </w:rPr>
        <w:t>Revista Gestão &amp; Tecnologia</w:t>
      </w:r>
      <w:r>
        <w:rPr>
          <w:rFonts w:ascii="Arial" w:eastAsia="Arial" w:hAnsi="Arial" w:cs="Arial"/>
          <w:sz w:val="24"/>
          <w:szCs w:val="24"/>
        </w:rPr>
        <w:t>, v. 10, n. 32, p. 33-44, 2021. Disponível em: https://www.faculdadedelta.edu.br/revistas3/index.php/gt/article/view/70/55. Acesso em: 18 out. 2022.</w:t>
      </w:r>
    </w:p>
    <w:p w14:paraId="2500A67B"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SOUSA, K. H. J. F. </w:t>
      </w:r>
      <w:r>
        <w:rPr>
          <w:rFonts w:ascii="Arial" w:eastAsia="Arial" w:hAnsi="Arial" w:cs="Arial"/>
          <w:i/>
          <w:sz w:val="24"/>
          <w:szCs w:val="24"/>
        </w:rPr>
        <w:t>et al</w:t>
      </w:r>
      <w:r>
        <w:rPr>
          <w:rFonts w:ascii="Arial" w:eastAsia="Arial" w:hAnsi="Arial" w:cs="Arial"/>
          <w:sz w:val="24"/>
          <w:szCs w:val="24"/>
        </w:rPr>
        <w:t xml:space="preserve">. Humanização nos serviços de urgência e emergência: contribuições para o cuidado de enfermagem. </w:t>
      </w:r>
      <w:r>
        <w:rPr>
          <w:rFonts w:ascii="Arial" w:eastAsia="Arial" w:hAnsi="Arial" w:cs="Arial"/>
          <w:b/>
          <w:sz w:val="24"/>
          <w:szCs w:val="24"/>
        </w:rPr>
        <w:t>Revista Gaúcha de Enfermagem</w:t>
      </w:r>
      <w:r>
        <w:rPr>
          <w:rFonts w:ascii="Arial" w:eastAsia="Arial" w:hAnsi="Arial" w:cs="Arial"/>
          <w:sz w:val="24"/>
          <w:szCs w:val="24"/>
        </w:rPr>
        <w:t>, v. 40, e20180263, 2019. Doi: http://dx.doi.org/10.1590/1983-1447.2019.20180263.</w:t>
      </w:r>
    </w:p>
    <w:p w14:paraId="24FF7E66"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SOUZA, C. C. </w:t>
      </w:r>
      <w:r>
        <w:rPr>
          <w:rFonts w:ascii="Arial" w:eastAsia="Arial" w:hAnsi="Arial" w:cs="Arial"/>
          <w:i/>
          <w:sz w:val="24"/>
          <w:szCs w:val="24"/>
        </w:rPr>
        <w:t>et al</w:t>
      </w:r>
      <w:r>
        <w:rPr>
          <w:rFonts w:ascii="Arial" w:eastAsia="Arial" w:hAnsi="Arial" w:cs="Arial"/>
          <w:sz w:val="24"/>
          <w:szCs w:val="24"/>
        </w:rPr>
        <w:t xml:space="preserve">. Diagnósticos de enfermagem em pacientes classificados nos niveis I e II de prioridade do Protocolo Manchester. </w:t>
      </w:r>
      <w:r>
        <w:rPr>
          <w:rFonts w:ascii="Arial" w:eastAsia="Arial" w:hAnsi="Arial" w:cs="Arial"/>
          <w:b/>
          <w:sz w:val="24"/>
          <w:szCs w:val="24"/>
        </w:rPr>
        <w:t>Revista da Escola de Enfermagem da USP</w:t>
      </w:r>
      <w:r>
        <w:rPr>
          <w:rFonts w:ascii="Arial" w:eastAsia="Arial" w:hAnsi="Arial" w:cs="Arial"/>
          <w:sz w:val="24"/>
          <w:szCs w:val="24"/>
        </w:rPr>
        <w:t>, v. 47, n. 6, p. 1318-1324, 1 dez. 2013. Doi: http://dx.doi.org/10.1590/s0080-623420130000600010.</w:t>
      </w:r>
    </w:p>
    <w:p w14:paraId="78A0CDFE" w14:textId="77777777" w:rsidR="00787BF7" w:rsidRDefault="00000000">
      <w:pPr>
        <w:pBdr>
          <w:top w:val="nil"/>
          <w:left w:val="nil"/>
          <w:bottom w:val="nil"/>
          <w:right w:val="nil"/>
          <w:between w:val="nil"/>
        </w:pBdr>
        <w:spacing w:after="240" w:line="240" w:lineRule="auto"/>
        <w:rPr>
          <w:rFonts w:ascii="Arial" w:eastAsia="Arial" w:hAnsi="Arial" w:cs="Arial"/>
          <w:sz w:val="24"/>
          <w:szCs w:val="24"/>
        </w:rPr>
      </w:pPr>
      <w:r>
        <w:rPr>
          <w:rFonts w:ascii="Arial" w:eastAsia="Arial" w:hAnsi="Arial" w:cs="Arial"/>
          <w:sz w:val="24"/>
          <w:szCs w:val="24"/>
        </w:rPr>
        <w:t xml:space="preserve">SOUZA, C. C. </w:t>
      </w:r>
      <w:r>
        <w:rPr>
          <w:rFonts w:ascii="Arial" w:eastAsia="Arial" w:hAnsi="Arial" w:cs="Arial"/>
          <w:i/>
          <w:sz w:val="24"/>
          <w:szCs w:val="24"/>
        </w:rPr>
        <w:t>et al</w:t>
      </w:r>
      <w:r>
        <w:rPr>
          <w:rFonts w:ascii="Arial" w:eastAsia="Arial" w:hAnsi="Arial" w:cs="Arial"/>
          <w:sz w:val="24"/>
          <w:szCs w:val="24"/>
        </w:rPr>
        <w:t xml:space="preserve">. Risk classification in an emergency room: agreement level between a brazilian institutional and the manchester protocol. </w:t>
      </w:r>
      <w:r>
        <w:rPr>
          <w:rFonts w:ascii="Arial" w:eastAsia="Arial" w:hAnsi="Arial" w:cs="Arial"/>
          <w:b/>
          <w:sz w:val="24"/>
          <w:szCs w:val="24"/>
        </w:rPr>
        <w:t>Revista Latino-Americana de Enfermagem</w:t>
      </w:r>
      <w:r>
        <w:rPr>
          <w:rFonts w:ascii="Arial" w:eastAsia="Arial" w:hAnsi="Arial" w:cs="Arial"/>
          <w:sz w:val="24"/>
          <w:szCs w:val="24"/>
        </w:rPr>
        <w:t>, v. 19, n. 1, p. 26-33, fev. 2011. Doi: http://dx.doi.org/10.1590/s0104-11692011000100005.</w:t>
      </w:r>
    </w:p>
    <w:p w14:paraId="4C0B794A" w14:textId="77777777" w:rsidR="00787BF7" w:rsidRDefault="00787BF7">
      <w:pPr>
        <w:pBdr>
          <w:top w:val="nil"/>
          <w:left w:val="nil"/>
          <w:bottom w:val="nil"/>
          <w:right w:val="nil"/>
          <w:between w:val="nil"/>
        </w:pBdr>
        <w:spacing w:after="240" w:line="240" w:lineRule="auto"/>
        <w:rPr>
          <w:rFonts w:ascii="Arial" w:eastAsia="Arial" w:hAnsi="Arial" w:cs="Arial"/>
          <w:sz w:val="24"/>
          <w:szCs w:val="24"/>
        </w:rPr>
      </w:pPr>
    </w:p>
    <w:sectPr w:rsidR="00787BF7">
      <w:pgSz w:w="11907" w:h="16840"/>
      <w:pgMar w:top="1701" w:right="1134" w:bottom="1134" w:left="1701" w:header="851"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606B3" w14:textId="77777777" w:rsidR="00D96209" w:rsidRDefault="00D96209">
      <w:pPr>
        <w:spacing w:after="0" w:line="240" w:lineRule="auto"/>
      </w:pPr>
      <w:r>
        <w:separator/>
      </w:r>
    </w:p>
  </w:endnote>
  <w:endnote w:type="continuationSeparator" w:id="0">
    <w:p w14:paraId="0301BB56" w14:textId="77777777" w:rsidR="00D96209" w:rsidRDefault="00D96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0D6E4" w14:textId="77777777" w:rsidR="00787BF7" w:rsidRDefault="00787BF7">
    <w:pPr>
      <w:pBdr>
        <w:top w:val="nil"/>
        <w:left w:val="nil"/>
        <w:bottom w:val="nil"/>
        <w:right w:val="nil"/>
        <w:between w:val="nil"/>
      </w:pBdr>
      <w:spacing w:after="0" w:line="240" w:lineRule="auto"/>
      <w:rPr>
        <w:rFonts w:ascii="Arial" w:eastAsia="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F7707" w14:textId="77777777" w:rsidR="00D96209" w:rsidRDefault="00D96209">
      <w:pPr>
        <w:spacing w:after="0" w:line="240" w:lineRule="auto"/>
      </w:pPr>
      <w:r>
        <w:separator/>
      </w:r>
    </w:p>
  </w:footnote>
  <w:footnote w:type="continuationSeparator" w:id="0">
    <w:p w14:paraId="2E9B846D" w14:textId="77777777" w:rsidR="00D96209" w:rsidRDefault="00D962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B0F70" w14:textId="77777777" w:rsidR="00787BF7" w:rsidRDefault="00000000">
    <w:pPr>
      <w:spacing w:after="0"/>
      <w:jc w:val="right"/>
    </w:pPr>
    <w:r>
      <w:fldChar w:fldCharType="begin"/>
    </w:r>
    <w:r>
      <w:instrText>PAGE</w:instrText>
    </w:r>
    <w:r>
      <w:fldChar w:fldCharType="separate"/>
    </w:r>
    <w:r>
      <w:fldChar w:fldCharType="end"/>
    </w:r>
  </w:p>
  <w:p w14:paraId="680BFD8C" w14:textId="77777777" w:rsidR="00787BF7" w:rsidRDefault="00787BF7">
    <w:pPr>
      <w:widowControl w:val="0"/>
      <w:pBdr>
        <w:top w:val="nil"/>
        <w:left w:val="nil"/>
        <w:bottom w:val="nil"/>
        <w:right w:val="nil"/>
        <w:between w:val="nil"/>
      </w:pBdr>
      <w:spacing w:after="0" w:line="276"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AC1DB" w14:textId="77777777" w:rsidR="00787BF7" w:rsidRDefault="00000000">
    <w:pPr>
      <w:spacing w:after="0"/>
      <w:jc w:val="right"/>
    </w:pPr>
    <w:r>
      <w:fldChar w:fldCharType="begin"/>
    </w:r>
    <w:r>
      <w:instrText>PAGE</w:instrText>
    </w:r>
    <w:r>
      <w:fldChar w:fldCharType="separate"/>
    </w:r>
    <w:r>
      <w:fldChar w:fldCharType="end"/>
    </w:r>
  </w:p>
  <w:p w14:paraId="421BDE5A" w14:textId="77777777" w:rsidR="00787BF7" w:rsidRDefault="00787BF7">
    <w:pPr>
      <w:widowControl w:val="0"/>
      <w:pBdr>
        <w:top w:val="nil"/>
        <w:left w:val="nil"/>
        <w:bottom w:val="nil"/>
        <w:right w:val="nil"/>
        <w:between w:val="nil"/>
      </w:pBdr>
      <w:spacing w:after="0" w:line="276"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964EC" w14:textId="77777777" w:rsidR="00787BF7" w:rsidRDefault="00000000">
    <w:pPr>
      <w:spacing w:after="0"/>
      <w:jc w:val="right"/>
    </w:pPr>
    <w:r>
      <w:fldChar w:fldCharType="begin"/>
    </w:r>
    <w:r>
      <w:instrText>PAGE</w:instrText>
    </w:r>
    <w:r>
      <w:fldChar w:fldCharType="separate"/>
    </w:r>
    <w:r>
      <w:fldChar w:fldCharType="end"/>
    </w:r>
  </w:p>
  <w:p w14:paraId="0FB1A102" w14:textId="77777777" w:rsidR="00787BF7" w:rsidRDefault="00787BF7">
    <w:pPr>
      <w:widowControl w:val="0"/>
      <w:pBdr>
        <w:top w:val="nil"/>
        <w:left w:val="nil"/>
        <w:bottom w:val="nil"/>
        <w:right w:val="nil"/>
        <w:between w:val="nil"/>
      </w:pBdr>
      <w:spacing w:after="0" w:line="276"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3226C"/>
    <w:multiLevelType w:val="multilevel"/>
    <w:tmpl w:val="7BE0B5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E3F6D99"/>
    <w:multiLevelType w:val="multilevel"/>
    <w:tmpl w:val="AE80042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BB967CD"/>
    <w:multiLevelType w:val="multilevel"/>
    <w:tmpl w:val="E88029FC"/>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CEA2E79"/>
    <w:multiLevelType w:val="multilevel"/>
    <w:tmpl w:val="32BE0A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F840D64"/>
    <w:multiLevelType w:val="multilevel"/>
    <w:tmpl w:val="BFFE1890"/>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 w15:restartNumberingAfterBreak="0">
    <w:nsid w:val="718428E7"/>
    <w:multiLevelType w:val="multilevel"/>
    <w:tmpl w:val="B9AA58D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68668515">
    <w:abstractNumId w:val="0"/>
  </w:num>
  <w:num w:numId="2" w16cid:durableId="988245053">
    <w:abstractNumId w:val="4"/>
  </w:num>
  <w:num w:numId="3" w16cid:durableId="14307376">
    <w:abstractNumId w:val="5"/>
  </w:num>
  <w:num w:numId="4" w16cid:durableId="1309936984">
    <w:abstractNumId w:val="1"/>
  </w:num>
  <w:num w:numId="5" w16cid:durableId="2065179713">
    <w:abstractNumId w:val="3"/>
  </w:num>
  <w:num w:numId="6" w16cid:durableId="5933662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BF7"/>
    <w:rsid w:val="00787BF7"/>
    <w:rsid w:val="0088767F"/>
    <w:rsid w:val="00D962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15C21"/>
  <w15:docId w15:val="{592D3EE7-A33D-4512-BBAC-A2C563A64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144"/>
    <w:rPr>
      <w:color w:val="000000"/>
    </w:rPr>
  </w:style>
  <w:style w:type="paragraph" w:styleId="Ttulo1">
    <w:name w:val="heading 1"/>
    <w:basedOn w:val="Normal"/>
    <w:next w:val="Recuodecorpodetexto"/>
    <w:link w:val="Ttulo1Char"/>
    <w:uiPriority w:val="9"/>
    <w:qFormat/>
    <w:rsid w:val="005903E5"/>
    <w:pPr>
      <w:keepNext/>
      <w:keepLines/>
      <w:spacing w:after="0" w:line="360" w:lineRule="auto"/>
      <w:ind w:left="113" w:hanging="113"/>
      <w:outlineLvl w:val="0"/>
    </w:pPr>
    <w:rPr>
      <w:rFonts w:ascii="Arial" w:eastAsiaTheme="majorEastAsia" w:hAnsi="Arial" w:cstheme="majorBidi"/>
      <w:b/>
      <w:sz w:val="24"/>
      <w:szCs w:val="32"/>
    </w:rPr>
  </w:style>
  <w:style w:type="paragraph" w:styleId="Ttulo2">
    <w:name w:val="heading 2"/>
    <w:basedOn w:val="Normal"/>
    <w:next w:val="Normal"/>
    <w:link w:val="Ttulo2Char"/>
    <w:uiPriority w:val="9"/>
    <w:unhideWhenUsed/>
    <w:qFormat/>
    <w:rsid w:val="005903E5"/>
    <w:pPr>
      <w:keepNext/>
      <w:keepLines/>
      <w:spacing w:after="0" w:line="360" w:lineRule="auto"/>
      <w:ind w:left="397" w:hanging="397"/>
      <w:outlineLvl w:val="1"/>
    </w:pPr>
    <w:rPr>
      <w:rFonts w:ascii="Arial" w:eastAsiaTheme="majorEastAsia" w:hAnsi="Arial" w:cstheme="majorBidi"/>
      <w:sz w:val="24"/>
      <w:szCs w:val="26"/>
    </w:rPr>
  </w:style>
  <w:style w:type="paragraph" w:styleId="Ttulo3">
    <w:name w:val="heading 3"/>
    <w:basedOn w:val="Normal"/>
    <w:next w:val="Normal"/>
    <w:link w:val="Ttulo3Char"/>
    <w:uiPriority w:val="9"/>
    <w:unhideWhenUsed/>
    <w:qFormat/>
    <w:rsid w:val="005903E5"/>
    <w:pPr>
      <w:keepNext/>
      <w:keepLines/>
      <w:spacing w:after="0" w:line="360" w:lineRule="auto"/>
      <w:ind w:left="624" w:hanging="624"/>
      <w:outlineLvl w:val="2"/>
    </w:pPr>
    <w:rPr>
      <w:rFonts w:ascii="Arial" w:eastAsiaTheme="majorEastAsia" w:hAnsi="Arial" w:cstheme="majorBidi"/>
      <w:sz w:val="24"/>
      <w:szCs w:val="24"/>
    </w:rPr>
  </w:style>
  <w:style w:type="paragraph" w:styleId="Ttulo4">
    <w:name w:val="heading 4"/>
    <w:basedOn w:val="Normal"/>
    <w:next w:val="Normal"/>
    <w:link w:val="Ttulo4Char"/>
    <w:uiPriority w:val="9"/>
    <w:unhideWhenUsed/>
    <w:qFormat/>
    <w:rsid w:val="005903E5"/>
    <w:pPr>
      <w:keepNext/>
      <w:keepLines/>
      <w:spacing w:after="0" w:line="360" w:lineRule="auto"/>
      <w:jc w:val="center"/>
      <w:outlineLvl w:val="3"/>
    </w:pPr>
    <w:rPr>
      <w:rFonts w:ascii="Arial" w:eastAsiaTheme="majorEastAsia" w:hAnsi="Arial" w:cstheme="majorBidi"/>
      <w:b/>
      <w:iCs/>
      <w:sz w:val="24"/>
    </w:rPr>
  </w:style>
  <w:style w:type="paragraph" w:styleId="Ttulo5">
    <w:name w:val="heading 5"/>
    <w:basedOn w:val="Normal"/>
    <w:next w:val="Recuodecorpodetexto"/>
    <w:link w:val="Ttulo5Char"/>
    <w:uiPriority w:val="9"/>
    <w:unhideWhenUsed/>
    <w:qFormat/>
    <w:rsid w:val="005903E5"/>
    <w:pPr>
      <w:keepNext/>
      <w:keepLines/>
      <w:spacing w:after="0" w:line="240" w:lineRule="auto"/>
      <w:outlineLvl w:val="4"/>
    </w:pPr>
    <w:rPr>
      <w:rFonts w:ascii="Arial" w:eastAsiaTheme="majorEastAsia" w:hAnsi="Arial" w:cstheme="majorBidi"/>
      <w:sz w:val="20"/>
    </w:rPr>
  </w:style>
  <w:style w:type="paragraph" w:styleId="Ttulo6">
    <w:name w:val="heading 6"/>
    <w:basedOn w:val="Normal"/>
    <w:next w:val="Recuodecorpodetexto"/>
    <w:link w:val="Ttulo6Char"/>
    <w:uiPriority w:val="9"/>
    <w:unhideWhenUsed/>
    <w:qFormat/>
    <w:rsid w:val="005903E5"/>
    <w:pPr>
      <w:keepNext/>
      <w:keepLines/>
      <w:spacing w:after="0" w:line="240" w:lineRule="auto"/>
      <w:outlineLvl w:val="5"/>
    </w:pPr>
    <w:rPr>
      <w:rFonts w:ascii="Arial" w:eastAsiaTheme="majorEastAsia" w:hAnsi="Arial" w:cstheme="majorBidi"/>
      <w:sz w:val="20"/>
    </w:rPr>
  </w:style>
  <w:style w:type="paragraph" w:styleId="Ttulo7">
    <w:name w:val="heading 7"/>
    <w:basedOn w:val="Normal"/>
    <w:next w:val="Normal"/>
    <w:link w:val="Ttulo7Char"/>
    <w:uiPriority w:val="9"/>
    <w:semiHidden/>
    <w:unhideWhenUsed/>
    <w:qFormat/>
    <w:rsid w:val="005903E5"/>
    <w:pPr>
      <w:keepNext/>
      <w:keepLines/>
      <w:spacing w:after="0" w:line="240" w:lineRule="auto"/>
      <w:outlineLvl w:val="6"/>
    </w:pPr>
    <w:rPr>
      <w:rFonts w:ascii="Arial" w:eastAsiaTheme="majorEastAsia" w:hAnsi="Arial" w:cstheme="majorBidi"/>
      <w:iCs/>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har">
    <w:name w:val="Título 1 Char"/>
    <w:basedOn w:val="Fontepargpadro"/>
    <w:link w:val="Ttulo1"/>
    <w:rsid w:val="005903E5"/>
    <w:rPr>
      <w:rFonts w:ascii="Arial" w:eastAsiaTheme="majorEastAsia" w:hAnsi="Arial" w:cstheme="majorBidi"/>
      <w:b/>
      <w:sz w:val="24"/>
      <w:szCs w:val="32"/>
    </w:rPr>
  </w:style>
  <w:style w:type="paragraph" w:styleId="Recuodecorpodetexto">
    <w:name w:val="Body Text Indent"/>
    <w:basedOn w:val="Normal"/>
    <w:link w:val="RecuodecorpodetextoChar"/>
    <w:uiPriority w:val="99"/>
    <w:unhideWhenUsed/>
    <w:rsid w:val="005903E5"/>
    <w:pPr>
      <w:spacing w:after="0" w:line="360" w:lineRule="auto"/>
      <w:ind w:firstLine="709"/>
      <w:jc w:val="both"/>
    </w:pPr>
    <w:rPr>
      <w:rFonts w:ascii="Arial" w:hAnsi="Arial"/>
      <w:sz w:val="24"/>
    </w:rPr>
  </w:style>
  <w:style w:type="character" w:customStyle="1" w:styleId="RecuodecorpodetextoChar">
    <w:name w:val="Recuo de corpo de texto Char"/>
    <w:basedOn w:val="Fontepargpadro"/>
    <w:link w:val="Recuodecorpodetexto"/>
    <w:uiPriority w:val="99"/>
    <w:rsid w:val="005903E5"/>
    <w:rPr>
      <w:rFonts w:ascii="Arial" w:hAnsi="Arial"/>
      <w:sz w:val="24"/>
    </w:rPr>
  </w:style>
  <w:style w:type="character" w:customStyle="1" w:styleId="Ttulo2Char">
    <w:name w:val="Título 2 Char"/>
    <w:basedOn w:val="Fontepargpadro"/>
    <w:link w:val="Ttulo2"/>
    <w:rsid w:val="005903E5"/>
    <w:rPr>
      <w:rFonts w:ascii="Arial" w:eastAsiaTheme="majorEastAsia" w:hAnsi="Arial" w:cstheme="majorBidi"/>
      <w:sz w:val="24"/>
      <w:szCs w:val="26"/>
    </w:rPr>
  </w:style>
  <w:style w:type="paragraph" w:styleId="Rodap">
    <w:name w:val="footer"/>
    <w:basedOn w:val="Normal"/>
    <w:link w:val="RodapChar"/>
    <w:uiPriority w:val="99"/>
    <w:unhideWhenUsed/>
    <w:rsid w:val="005903E5"/>
    <w:pPr>
      <w:spacing w:after="0" w:line="240" w:lineRule="auto"/>
    </w:pPr>
    <w:rPr>
      <w:rFonts w:ascii="Arial" w:hAnsi="Arial"/>
      <w:sz w:val="20"/>
    </w:rPr>
  </w:style>
  <w:style w:type="character" w:customStyle="1" w:styleId="RodapChar">
    <w:name w:val="Rodapé Char"/>
    <w:basedOn w:val="Fontepargpadro"/>
    <w:link w:val="Rodap"/>
    <w:uiPriority w:val="99"/>
    <w:rsid w:val="005903E5"/>
    <w:rPr>
      <w:rFonts w:ascii="Arial" w:hAnsi="Arial"/>
      <w:sz w:val="20"/>
    </w:rPr>
  </w:style>
  <w:style w:type="character" w:customStyle="1" w:styleId="Ttulo3Char">
    <w:name w:val="Título 3 Char"/>
    <w:basedOn w:val="Fontepargpadro"/>
    <w:link w:val="Ttulo3"/>
    <w:rsid w:val="005903E5"/>
    <w:rPr>
      <w:rFonts w:ascii="Arial" w:eastAsiaTheme="majorEastAsia" w:hAnsi="Arial" w:cstheme="majorBidi"/>
      <w:sz w:val="24"/>
      <w:szCs w:val="24"/>
    </w:rPr>
  </w:style>
  <w:style w:type="paragraph" w:styleId="Textodenotaderodap">
    <w:name w:val="footnote text"/>
    <w:basedOn w:val="Normal"/>
    <w:link w:val="TextodenotaderodapChar"/>
    <w:uiPriority w:val="99"/>
    <w:semiHidden/>
    <w:unhideWhenUsed/>
    <w:rsid w:val="005903E5"/>
    <w:pPr>
      <w:spacing w:after="0" w:line="240" w:lineRule="auto"/>
      <w:ind w:left="113" w:hanging="113"/>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5903E5"/>
    <w:rPr>
      <w:rFonts w:ascii="Arial" w:hAnsi="Arial"/>
      <w:sz w:val="20"/>
      <w:szCs w:val="20"/>
    </w:rPr>
  </w:style>
  <w:style w:type="character" w:customStyle="1" w:styleId="Ttulo4Char">
    <w:name w:val="Título 4 Char"/>
    <w:basedOn w:val="Fontepargpadro"/>
    <w:link w:val="Ttulo4"/>
    <w:rsid w:val="005903E5"/>
    <w:rPr>
      <w:rFonts w:ascii="Arial" w:eastAsiaTheme="majorEastAsia" w:hAnsi="Arial" w:cstheme="majorBidi"/>
      <w:b/>
      <w:iCs/>
      <w:sz w:val="24"/>
    </w:rPr>
  </w:style>
  <w:style w:type="character" w:customStyle="1" w:styleId="Ttulo5Char">
    <w:name w:val="Título 5 Char"/>
    <w:basedOn w:val="Fontepargpadro"/>
    <w:link w:val="Ttulo5"/>
    <w:uiPriority w:val="9"/>
    <w:rsid w:val="005903E5"/>
    <w:rPr>
      <w:rFonts w:ascii="Arial" w:eastAsiaTheme="majorEastAsia" w:hAnsi="Arial" w:cstheme="majorBidi"/>
      <w:sz w:val="20"/>
    </w:rPr>
  </w:style>
  <w:style w:type="character" w:customStyle="1" w:styleId="Ttulo6Char">
    <w:name w:val="Título 6 Char"/>
    <w:basedOn w:val="Fontepargpadro"/>
    <w:link w:val="Ttulo6"/>
    <w:uiPriority w:val="9"/>
    <w:rsid w:val="005903E5"/>
    <w:rPr>
      <w:rFonts w:ascii="Arial" w:eastAsiaTheme="majorEastAsia" w:hAnsi="Arial" w:cstheme="majorBidi"/>
      <w:sz w:val="20"/>
    </w:rPr>
  </w:style>
  <w:style w:type="character" w:customStyle="1" w:styleId="Ttulo7Char">
    <w:name w:val="Título 7 Char"/>
    <w:basedOn w:val="Fontepargpadro"/>
    <w:link w:val="Ttulo7"/>
    <w:uiPriority w:val="9"/>
    <w:semiHidden/>
    <w:rsid w:val="005903E5"/>
    <w:rPr>
      <w:rFonts w:ascii="Arial" w:eastAsiaTheme="majorEastAsia" w:hAnsi="Arial" w:cstheme="majorBidi"/>
      <w:iCs/>
      <w:sz w:val="20"/>
    </w:rPr>
  </w:style>
  <w:style w:type="paragraph" w:styleId="Corpodetexto">
    <w:name w:val="Body Text"/>
    <w:basedOn w:val="Normal"/>
    <w:link w:val="CorpodetextoChar"/>
    <w:uiPriority w:val="99"/>
    <w:semiHidden/>
    <w:unhideWhenUsed/>
    <w:rsid w:val="005903E5"/>
    <w:pPr>
      <w:spacing w:after="120"/>
    </w:pPr>
  </w:style>
  <w:style w:type="character" w:customStyle="1" w:styleId="CorpodetextoChar">
    <w:name w:val="Corpo de texto Char"/>
    <w:basedOn w:val="Fontepargpadro"/>
    <w:link w:val="Corpodetexto"/>
    <w:uiPriority w:val="99"/>
    <w:semiHidden/>
    <w:rsid w:val="005903E5"/>
  </w:style>
  <w:style w:type="paragraph" w:styleId="Primeirorecuodecorpodetexto">
    <w:name w:val="Body Text First Indent"/>
    <w:basedOn w:val="Corpodetexto"/>
    <w:link w:val="PrimeirorecuodecorpodetextoChar"/>
    <w:uiPriority w:val="99"/>
    <w:unhideWhenUsed/>
    <w:rsid w:val="005903E5"/>
    <w:pPr>
      <w:spacing w:after="0" w:line="360" w:lineRule="auto"/>
      <w:jc w:val="center"/>
    </w:pPr>
    <w:rPr>
      <w:rFonts w:ascii="Arial" w:hAnsi="Arial"/>
      <w:sz w:val="24"/>
    </w:rPr>
  </w:style>
  <w:style w:type="character" w:customStyle="1" w:styleId="PrimeirorecuodecorpodetextoChar">
    <w:name w:val="Primeiro recuo de corpo de texto Char"/>
    <w:basedOn w:val="CorpodetextoChar"/>
    <w:link w:val="Primeirorecuodecorpodetexto"/>
    <w:uiPriority w:val="99"/>
    <w:rsid w:val="005903E5"/>
    <w:rPr>
      <w:rFonts w:ascii="Arial" w:hAnsi="Arial"/>
      <w:sz w:val="24"/>
    </w:rPr>
  </w:style>
  <w:style w:type="paragraph" w:styleId="Primeirorecuodecorpodetexto2">
    <w:name w:val="Body Text First Indent 2"/>
    <w:basedOn w:val="Recuodecorpodetexto"/>
    <w:link w:val="Primeirorecuodecorpodetexto2Char"/>
    <w:uiPriority w:val="99"/>
    <w:unhideWhenUsed/>
    <w:rsid w:val="00C569D7"/>
    <w:pPr>
      <w:ind w:firstLine="0"/>
      <w:jc w:val="center"/>
    </w:pPr>
    <w:rPr>
      <w:b/>
    </w:rPr>
  </w:style>
  <w:style w:type="character" w:customStyle="1" w:styleId="Primeirorecuodecorpodetexto2Char">
    <w:name w:val="Primeiro recuo de corpo de texto 2 Char"/>
    <w:basedOn w:val="RecuodecorpodetextoChar"/>
    <w:link w:val="Primeirorecuodecorpodetexto2"/>
    <w:uiPriority w:val="99"/>
    <w:rsid w:val="00C569D7"/>
    <w:rPr>
      <w:rFonts w:ascii="Arial" w:hAnsi="Arial"/>
      <w:b/>
      <w:sz w:val="24"/>
    </w:rPr>
  </w:style>
  <w:style w:type="paragraph" w:styleId="Recuodecorpodetexto2">
    <w:name w:val="Body Text Indent 2"/>
    <w:basedOn w:val="Normal"/>
    <w:link w:val="Recuodecorpodetexto2Char"/>
    <w:uiPriority w:val="99"/>
    <w:unhideWhenUsed/>
    <w:rsid w:val="005903E5"/>
    <w:pPr>
      <w:spacing w:after="0" w:line="240" w:lineRule="auto"/>
      <w:ind w:left="2268"/>
      <w:jc w:val="both"/>
    </w:pPr>
    <w:rPr>
      <w:rFonts w:ascii="Arial" w:hAnsi="Arial"/>
      <w:sz w:val="20"/>
    </w:rPr>
  </w:style>
  <w:style w:type="character" w:customStyle="1" w:styleId="Recuodecorpodetexto2Char">
    <w:name w:val="Recuo de corpo de texto 2 Char"/>
    <w:basedOn w:val="Fontepargpadro"/>
    <w:link w:val="Recuodecorpodetexto2"/>
    <w:uiPriority w:val="99"/>
    <w:rsid w:val="005903E5"/>
    <w:rPr>
      <w:rFonts w:ascii="Arial" w:hAnsi="Arial"/>
      <w:sz w:val="20"/>
    </w:rPr>
  </w:style>
  <w:style w:type="paragraph" w:styleId="Recuodecorpodetexto3">
    <w:name w:val="Body Text Indent 3"/>
    <w:basedOn w:val="Normal"/>
    <w:link w:val="Recuodecorpodetexto3Char"/>
    <w:uiPriority w:val="99"/>
    <w:unhideWhenUsed/>
    <w:rsid w:val="005903E5"/>
    <w:pPr>
      <w:spacing w:after="0" w:line="240" w:lineRule="auto"/>
    </w:pPr>
    <w:rPr>
      <w:rFonts w:ascii="Arial" w:hAnsi="Arial"/>
      <w:sz w:val="20"/>
      <w:szCs w:val="16"/>
    </w:rPr>
  </w:style>
  <w:style w:type="character" w:customStyle="1" w:styleId="Recuodecorpodetexto3Char">
    <w:name w:val="Recuo de corpo de texto 3 Char"/>
    <w:basedOn w:val="Fontepargpadro"/>
    <w:link w:val="Recuodecorpodetexto3"/>
    <w:uiPriority w:val="99"/>
    <w:rsid w:val="005903E5"/>
    <w:rPr>
      <w:rFonts w:ascii="Arial" w:hAnsi="Arial"/>
      <w:sz w:val="20"/>
      <w:szCs w:val="16"/>
    </w:rPr>
  </w:style>
  <w:style w:type="paragraph" w:styleId="Cabealho">
    <w:name w:val="header"/>
    <w:basedOn w:val="Normal"/>
    <w:link w:val="CabealhoChar"/>
    <w:uiPriority w:val="99"/>
    <w:unhideWhenUsed/>
    <w:rsid w:val="005903E5"/>
    <w:pPr>
      <w:spacing w:after="0" w:line="240" w:lineRule="auto"/>
    </w:pPr>
    <w:rPr>
      <w:rFonts w:ascii="Arial" w:hAnsi="Arial"/>
      <w:sz w:val="20"/>
    </w:rPr>
  </w:style>
  <w:style w:type="character" w:customStyle="1" w:styleId="CabealhoChar">
    <w:name w:val="Cabeçalho Char"/>
    <w:basedOn w:val="Fontepargpadro"/>
    <w:link w:val="Cabealho"/>
    <w:uiPriority w:val="99"/>
    <w:rsid w:val="005903E5"/>
    <w:rPr>
      <w:rFonts w:ascii="Arial" w:hAnsi="Arial"/>
      <w:sz w:val="20"/>
    </w:rPr>
  </w:style>
  <w:style w:type="paragraph" w:styleId="Sumrio2">
    <w:name w:val="toc 2"/>
    <w:basedOn w:val="Normal"/>
    <w:next w:val="Normal"/>
    <w:autoRedefine/>
    <w:uiPriority w:val="39"/>
    <w:rsid w:val="002C0D4D"/>
    <w:pPr>
      <w:spacing w:after="0" w:line="360" w:lineRule="auto"/>
      <w:outlineLvl w:val="0"/>
    </w:pPr>
    <w:rPr>
      <w:rFonts w:ascii="Arial" w:eastAsia="Times New Roman" w:hAnsi="Arial" w:cs="Arial"/>
      <w:noProof/>
      <w:color w:val="auto"/>
      <w:sz w:val="24"/>
      <w:szCs w:val="24"/>
    </w:rPr>
  </w:style>
  <w:style w:type="table" w:customStyle="1" w:styleId="TableGrid">
    <w:name w:val="TableGrid"/>
    <w:rsid w:val="00B47144"/>
    <w:pPr>
      <w:spacing w:after="0" w:line="240" w:lineRule="auto"/>
    </w:pPr>
    <w:rPr>
      <w:rFonts w:eastAsiaTheme="minorEastAsia"/>
    </w:rPr>
    <w:tblPr>
      <w:tblCellMar>
        <w:top w:w="0" w:type="dxa"/>
        <w:left w:w="0" w:type="dxa"/>
        <w:bottom w:w="0" w:type="dxa"/>
        <w:right w:w="0" w:type="dxa"/>
      </w:tblCellMar>
    </w:tblPr>
  </w:style>
  <w:style w:type="table" w:styleId="Tabelacomgrade">
    <w:name w:val="Table Grid"/>
    <w:basedOn w:val="Tabelanormal"/>
    <w:uiPriority w:val="39"/>
    <w:rsid w:val="00BA7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E95A6C"/>
    <w:rPr>
      <w:b/>
      <w:bCs/>
    </w:rPr>
  </w:style>
  <w:style w:type="character" w:styleId="Hyperlink">
    <w:name w:val="Hyperlink"/>
    <w:basedOn w:val="Fontepargpadro"/>
    <w:uiPriority w:val="99"/>
    <w:unhideWhenUsed/>
    <w:rsid w:val="00E95A6C"/>
    <w:rPr>
      <w:color w:val="0563C1" w:themeColor="hyperlink"/>
      <w:u w:val="single"/>
    </w:rPr>
  </w:style>
  <w:style w:type="character" w:customStyle="1" w:styleId="markedcontent">
    <w:name w:val="markedcontent"/>
    <w:basedOn w:val="Fontepargpadro"/>
    <w:rsid w:val="000A21D6"/>
  </w:style>
  <w:style w:type="character" w:styleId="nfase">
    <w:name w:val="Emphasis"/>
    <w:basedOn w:val="Fontepargpadro"/>
    <w:uiPriority w:val="20"/>
    <w:qFormat/>
    <w:rsid w:val="00C81D94"/>
    <w:rPr>
      <w:i/>
      <w:iCs/>
    </w:rPr>
  </w:style>
  <w:style w:type="paragraph" w:styleId="Sumrio1">
    <w:name w:val="toc 1"/>
    <w:basedOn w:val="Normal"/>
    <w:next w:val="Normal"/>
    <w:autoRedefine/>
    <w:uiPriority w:val="39"/>
    <w:unhideWhenUsed/>
    <w:rsid w:val="002C0D4D"/>
    <w:pPr>
      <w:spacing w:after="0" w:line="360" w:lineRule="auto"/>
    </w:pPr>
    <w:rPr>
      <w:rFonts w:ascii="Arial" w:hAnsi="Arial"/>
      <w:b/>
      <w:color w:val="auto"/>
      <w:sz w:val="24"/>
    </w:rPr>
  </w:style>
  <w:style w:type="paragraph" w:styleId="Sumrio3">
    <w:name w:val="toc 3"/>
    <w:basedOn w:val="Normal"/>
    <w:next w:val="Normal"/>
    <w:autoRedefine/>
    <w:uiPriority w:val="39"/>
    <w:unhideWhenUsed/>
    <w:rsid w:val="002C0D4D"/>
    <w:pPr>
      <w:spacing w:after="0" w:line="360" w:lineRule="auto"/>
    </w:pPr>
    <w:rPr>
      <w:rFonts w:ascii="Arial" w:hAnsi="Arial"/>
      <w:color w:val="auto"/>
      <w:sz w:val="24"/>
    </w:rPr>
  </w:style>
  <w:style w:type="paragraph" w:styleId="Sumrio4">
    <w:name w:val="toc 4"/>
    <w:basedOn w:val="Normal"/>
    <w:next w:val="Normal"/>
    <w:autoRedefine/>
    <w:uiPriority w:val="39"/>
    <w:semiHidden/>
    <w:unhideWhenUsed/>
    <w:rsid w:val="002C0D4D"/>
    <w:pPr>
      <w:spacing w:after="0" w:line="360" w:lineRule="auto"/>
    </w:pPr>
    <w:rPr>
      <w:rFonts w:ascii="Arial" w:hAnsi="Arial"/>
      <w:color w:val="auto"/>
      <w:sz w:val="24"/>
    </w:rPr>
  </w:style>
  <w:style w:type="paragraph" w:styleId="Sumrio5">
    <w:name w:val="toc 5"/>
    <w:basedOn w:val="Normal"/>
    <w:next w:val="Normal"/>
    <w:autoRedefine/>
    <w:uiPriority w:val="39"/>
    <w:unhideWhenUsed/>
    <w:rsid w:val="002C0D4D"/>
    <w:pPr>
      <w:spacing w:after="0" w:line="360" w:lineRule="auto"/>
    </w:pPr>
    <w:rPr>
      <w:rFonts w:ascii="Arial" w:hAnsi="Arial"/>
      <w:color w:val="auto"/>
      <w:sz w:val="24"/>
    </w:rPr>
  </w:style>
  <w:style w:type="paragraph" w:styleId="Sumrio6">
    <w:name w:val="toc 6"/>
    <w:basedOn w:val="Normal"/>
    <w:next w:val="Normal"/>
    <w:autoRedefine/>
    <w:uiPriority w:val="39"/>
    <w:unhideWhenUsed/>
    <w:rsid w:val="002C0D4D"/>
    <w:pPr>
      <w:spacing w:after="0" w:line="360" w:lineRule="auto"/>
    </w:pPr>
    <w:rPr>
      <w:rFonts w:ascii="Arial" w:hAnsi="Arial"/>
      <w:color w:val="auto"/>
      <w:sz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CellMar>
        <w:top w:w="0" w:type="dxa"/>
        <w:left w:w="101" w:type="dxa"/>
        <w:bottom w:w="0" w:type="dxa"/>
        <w:right w:w="115" w:type="dxa"/>
      </w:tblCellMar>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2.fag.edu.br/coopex/inscricao/arquivos/ecci_2021/13-10-2021--21-56-37.pdf" TargetMode="External"/><Relationship Id="rId18" Type="http://schemas.openxmlformats.org/officeDocument/2006/relationships/hyperlink" Target="http://www.abntouvancouver.com.br/search/label/Onde%20nasce%20o%20sucesso" TargetMode="External"/><Relationship Id="rId3" Type="http://schemas.openxmlformats.org/officeDocument/2006/relationships/styles" Target="styles.xml"/><Relationship Id="rId21" Type="http://schemas.openxmlformats.org/officeDocument/2006/relationships/hyperlink" Target="http://www.abntouvancouver.com.br/search/label/Revis%C3%A3o%20De%20Textos" TargetMode="External"/><Relationship Id="rId7" Type="http://schemas.openxmlformats.org/officeDocument/2006/relationships/endnotes" Target="endnotes.xml"/><Relationship Id="rId12" Type="http://schemas.openxmlformats.org/officeDocument/2006/relationships/hyperlink" Target="http://dx.doi.org/10.1590/s1983-14472012000400023" TargetMode="External"/><Relationship Id="rId17" Type="http://schemas.openxmlformats.org/officeDocument/2006/relationships/hyperlink" Target="http://www.abntouvancouver.com.br/search/label/Jos%C3%A9%20de%20Alenca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bntouvancouver.com.br/search/label/APA" TargetMode="External"/><Relationship Id="rId20" Type="http://schemas.openxmlformats.org/officeDocument/2006/relationships/hyperlink" Target="http://www.abntouvancouver.com.br/search/label/Revis%C3%A3o%20de%20Teses%20e%20de%20TC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bntouvancouver.com.br/search/label/ABNT" TargetMode="External"/><Relationship Id="rId23" Type="http://schemas.openxmlformats.org/officeDocument/2006/relationships/hyperlink" Target="http://dx.doi.org/10.33233/eb.v15i4.498" TargetMode="External"/><Relationship Id="rId10" Type="http://schemas.openxmlformats.org/officeDocument/2006/relationships/header" Target="header3.xml"/><Relationship Id="rId19" Type="http://schemas.openxmlformats.org/officeDocument/2006/relationships/hyperlink" Target="http://www.abntouvancouver.com.br/search/label/Revis%C3%A3o%20de%20Artigos%20Cient%C3%ADficos%20e%20de%20%20Monografia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dx.doi.org/10.5935/1676-4285.20103132" TargetMode="External"/><Relationship Id="rId22" Type="http://schemas.openxmlformats.org/officeDocument/2006/relationships/hyperlink" Target="http://www.abntouvancouver.com.br/search/label/VANCOUVE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d1O/unFk2A8/GN/449IV1ptGQ==">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13177</Words>
  <Characters>71160</Characters>
  <Application>Microsoft Office Word</Application>
  <DocSecurity>0</DocSecurity>
  <Lines>593</Lines>
  <Paragraphs>168</Paragraphs>
  <ScaleCrop>false</ScaleCrop>
  <Company/>
  <LinksUpToDate>false</LinksUpToDate>
  <CharactersWithSpaces>84169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josiane</dc:creator>
  <cp:lastModifiedBy>Usuario</cp:lastModifiedBy>
  <cp:revision>2</cp:revision>
  <dcterms:created xsi:type="dcterms:W3CDTF">2022-11-17T23:21:00Z</dcterms:created>
  <dcterms:modified xsi:type="dcterms:W3CDTF">2022-11-17T23:21:00Z</dcterms:modified>
</cp:coreProperties>
</file>